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C0FD2" w14:textId="0585F9BE" w:rsidR="00900B76" w:rsidRPr="001D3937" w:rsidRDefault="00E90E49" w:rsidP="00900B76">
      <w:pPr>
        <w:pStyle w:val="3GPPHeader"/>
        <w:spacing w:after="60"/>
        <w:rPr>
          <w:sz w:val="32"/>
          <w:szCs w:val="32"/>
          <w:lang w:val="de-DE"/>
        </w:rPr>
      </w:pPr>
      <w:r w:rsidRPr="001D3937">
        <w:rPr>
          <w:lang w:val="de-DE"/>
        </w:rPr>
        <w:t>3GPP TSG-RAN WG</w:t>
      </w:r>
      <w:r w:rsidR="00F20F5C" w:rsidRPr="001D3937">
        <w:rPr>
          <w:lang w:val="de-DE"/>
        </w:rPr>
        <w:t>2</w:t>
      </w:r>
      <w:r w:rsidRPr="001D3937">
        <w:rPr>
          <w:lang w:val="de-DE"/>
        </w:rPr>
        <w:t xml:space="preserve"> #</w:t>
      </w:r>
      <w:r w:rsidR="007A1255">
        <w:rPr>
          <w:lang w:val="de-DE"/>
        </w:rPr>
        <w:t>120</w:t>
      </w:r>
      <w:r w:rsidRPr="001D3937">
        <w:rPr>
          <w:lang w:val="de-DE"/>
        </w:rPr>
        <w:tab/>
      </w:r>
      <w:r w:rsidR="00900B76" w:rsidRPr="001D3937">
        <w:rPr>
          <w:sz w:val="32"/>
          <w:szCs w:val="32"/>
          <w:lang w:val="de-DE"/>
        </w:rPr>
        <w:t>R2-22</w:t>
      </w:r>
      <w:r w:rsidR="00EE4D69">
        <w:rPr>
          <w:sz w:val="32"/>
          <w:szCs w:val="32"/>
          <w:lang w:val="de-DE"/>
        </w:rPr>
        <w:t>12431</w:t>
      </w:r>
    </w:p>
    <w:p w14:paraId="0DEF01D1" w14:textId="07BDF056" w:rsidR="00E90E49" w:rsidRPr="00CE0424" w:rsidRDefault="007A1255" w:rsidP="00900B76">
      <w:pPr>
        <w:pStyle w:val="3GPPHeader"/>
        <w:spacing w:after="60"/>
      </w:pPr>
      <w:r>
        <w:t>Toulouse, France</w:t>
      </w:r>
      <w:r w:rsidR="00C268E6">
        <w:t xml:space="preserve">, </w:t>
      </w:r>
      <w:r w:rsidR="00260112">
        <w:t>1</w:t>
      </w:r>
      <w:r>
        <w:t>4</w:t>
      </w:r>
      <w:r w:rsidR="00DF66E1">
        <w:t xml:space="preserve"> </w:t>
      </w:r>
      <w:r w:rsidR="00260112">
        <w:t>– 1</w:t>
      </w:r>
      <w:r>
        <w:t>8</w:t>
      </w:r>
      <w:r w:rsidR="00260112">
        <w:t xml:space="preserve"> </w:t>
      </w:r>
      <w:r>
        <w:t>November</w:t>
      </w:r>
      <w:r w:rsidR="00260112">
        <w:t xml:space="preserve"> 2022</w:t>
      </w:r>
    </w:p>
    <w:p w14:paraId="252563D4" w14:textId="77777777" w:rsidR="00E90E49" w:rsidRPr="00CE0424" w:rsidRDefault="00E90E49" w:rsidP="00357380">
      <w:pPr>
        <w:pStyle w:val="3GPPHeader"/>
      </w:pPr>
    </w:p>
    <w:p w14:paraId="267378A2" w14:textId="5AC14A07" w:rsidR="00E90E49" w:rsidRPr="00EE4D69" w:rsidRDefault="00E90E49" w:rsidP="00311702">
      <w:pPr>
        <w:pStyle w:val="3GPPHeader"/>
        <w:rPr>
          <w:sz w:val="22"/>
          <w:szCs w:val="22"/>
          <w:lang w:val="en-US"/>
        </w:rPr>
      </w:pPr>
      <w:r w:rsidRPr="00EE4D69">
        <w:rPr>
          <w:sz w:val="22"/>
          <w:szCs w:val="22"/>
          <w:lang w:val="en-US"/>
        </w:rPr>
        <w:t>Agenda Item:</w:t>
      </w:r>
      <w:r w:rsidRPr="00EE4D69">
        <w:rPr>
          <w:sz w:val="22"/>
          <w:szCs w:val="22"/>
          <w:lang w:val="en-US"/>
        </w:rPr>
        <w:tab/>
      </w:r>
      <w:r w:rsidR="00763DA3" w:rsidRPr="00EE4D69">
        <w:rPr>
          <w:sz w:val="22"/>
          <w:szCs w:val="22"/>
          <w:lang w:val="en-US"/>
        </w:rPr>
        <w:t>8.</w:t>
      </w:r>
      <w:r w:rsidR="00EE4D69">
        <w:rPr>
          <w:sz w:val="22"/>
          <w:szCs w:val="22"/>
          <w:lang w:val="en-US"/>
        </w:rPr>
        <w:t>12</w:t>
      </w:r>
      <w:r w:rsidR="00CE0232" w:rsidRPr="00EE4D69">
        <w:rPr>
          <w:sz w:val="22"/>
          <w:szCs w:val="22"/>
          <w:lang w:val="en-US"/>
        </w:rPr>
        <w:t>.</w:t>
      </w:r>
      <w:r w:rsidR="00EE4D69">
        <w:rPr>
          <w:sz w:val="22"/>
          <w:szCs w:val="22"/>
          <w:lang w:val="en-US"/>
        </w:rPr>
        <w:t>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BAD33A5" w:rsidR="00E90E49" w:rsidRPr="00CE0424" w:rsidRDefault="003D3C45" w:rsidP="00311702">
      <w:pPr>
        <w:pStyle w:val="3GPPHeader"/>
        <w:rPr>
          <w:sz w:val="22"/>
          <w:szCs w:val="22"/>
        </w:rPr>
      </w:pPr>
      <w:r>
        <w:rPr>
          <w:sz w:val="22"/>
          <w:szCs w:val="22"/>
        </w:rPr>
        <w:t>Title:</w:t>
      </w:r>
      <w:r w:rsidR="00E90E49" w:rsidRPr="00CE0424">
        <w:rPr>
          <w:sz w:val="22"/>
          <w:szCs w:val="22"/>
        </w:rPr>
        <w:tab/>
      </w:r>
      <w:r w:rsidR="0017102C">
        <w:rPr>
          <w:sz w:val="22"/>
          <w:szCs w:val="22"/>
        </w:rPr>
        <w:t>Discussion on m</w:t>
      </w:r>
      <w:r w:rsidR="004A3BC9">
        <w:rPr>
          <w:sz w:val="22"/>
          <w:szCs w:val="22"/>
        </w:rPr>
        <w:t>obility enhancements for mIAB node</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3DA3">
        <w:rPr>
          <w:sz w:val="22"/>
          <w:szCs w:val="22"/>
        </w:rPr>
        <w:t>Discussion, Decision</w:t>
      </w:r>
    </w:p>
    <w:p w14:paraId="1DD4A9BC" w14:textId="77777777" w:rsidR="00E90E49" w:rsidRPr="00CE0424" w:rsidRDefault="00E90E49" w:rsidP="00E90E49"/>
    <w:p w14:paraId="028056FC" w14:textId="1A07B988" w:rsidR="00E90E49" w:rsidRDefault="00463D05" w:rsidP="00463D05">
      <w:pPr>
        <w:pStyle w:val="Heading1"/>
        <w:ind w:left="0" w:firstLine="0"/>
      </w:pPr>
      <w:r>
        <w:t>1</w:t>
      </w:r>
      <w:r>
        <w:tab/>
      </w:r>
      <w:r w:rsidR="00E90E49" w:rsidRPr="00CE0424">
        <w:t>Introduction</w:t>
      </w:r>
    </w:p>
    <w:p w14:paraId="611C6086" w14:textId="6796433C" w:rsidR="004A3BC9" w:rsidRPr="004A3BC9" w:rsidRDefault="004A3BC9" w:rsidP="00260112">
      <w:pPr>
        <w:pStyle w:val="BodyText"/>
      </w:pPr>
      <w:r>
        <w:t xml:space="preserve">One of the agendas for Rel-18 </w:t>
      </w:r>
      <w:r w:rsidR="00BE173D" w:rsidRPr="00260112">
        <w:t>Mobile</w:t>
      </w:r>
      <w:r w:rsidR="00BE173D">
        <w:t xml:space="preserve"> </w:t>
      </w:r>
      <w:r>
        <w:t>IAB is to discuss the necessary mobility enhancement needed to support the mobile-IAB.</w:t>
      </w:r>
    </w:p>
    <w:tbl>
      <w:tblPr>
        <w:tblStyle w:val="TableGrid"/>
        <w:tblW w:w="0" w:type="auto"/>
        <w:tblLook w:val="04A0" w:firstRow="1" w:lastRow="0" w:firstColumn="1" w:lastColumn="0" w:noHBand="0" w:noVBand="1"/>
      </w:tblPr>
      <w:tblGrid>
        <w:gridCol w:w="9629"/>
      </w:tblGrid>
      <w:tr w:rsidR="004A3BC9" w14:paraId="25B26F23" w14:textId="77777777" w:rsidTr="004A3BC9">
        <w:tc>
          <w:tcPr>
            <w:tcW w:w="9629" w:type="dxa"/>
          </w:tcPr>
          <w:p w14:paraId="495E5C31" w14:textId="77777777" w:rsidR="004A3BC9" w:rsidRPr="00AD02A0" w:rsidRDefault="004A3BC9" w:rsidP="004A3BC9">
            <w:pPr>
              <w:pStyle w:val="Heading3"/>
              <w:outlineLvl w:val="2"/>
              <w:rPr>
                <w:lang w:val="en-GB"/>
              </w:rPr>
            </w:pPr>
            <w:r w:rsidRPr="00AD02A0">
              <w:rPr>
                <w:lang w:val="en-GB"/>
              </w:rPr>
              <w:t>Mobility Enhancements</w:t>
            </w:r>
          </w:p>
          <w:p w14:paraId="4403B2C5" w14:textId="77777777" w:rsidR="004A3BC9" w:rsidRPr="00AD02A0" w:rsidRDefault="004A3BC9" w:rsidP="004A3BC9">
            <w:pPr>
              <w:pStyle w:val="Comments"/>
              <w:rPr>
                <w:lang w:val="en-GB"/>
              </w:rPr>
            </w:pPr>
            <w:r w:rsidRPr="00AD02A0">
              <w:rPr>
                <w:lang w:val="en-GB"/>
              </w:rPr>
              <w:t>Enhancements for mobility of an IAB-node together with its served UEs, including aspects related to group mobility. No optimizations for the targeting of surrounding UEs. [RAN3, RAN2]</w:t>
            </w:r>
          </w:p>
          <w:p w14:paraId="4E6C241E" w14:textId="77777777" w:rsidR="004A3BC9" w:rsidRPr="001D3937" w:rsidRDefault="004A3BC9" w:rsidP="00CE0424">
            <w:pPr>
              <w:pStyle w:val="BodyText"/>
              <w:rPr>
                <w:lang w:val="en-US"/>
              </w:rPr>
            </w:pPr>
          </w:p>
        </w:tc>
      </w:tr>
    </w:tbl>
    <w:p w14:paraId="1095B22E" w14:textId="77777777" w:rsidR="00477768" w:rsidRPr="00CE0424" w:rsidRDefault="00477768" w:rsidP="00CE0424">
      <w:pPr>
        <w:pStyle w:val="BodyText"/>
      </w:pPr>
    </w:p>
    <w:p w14:paraId="59E13DC4" w14:textId="63C3B6B2" w:rsidR="004000E8" w:rsidRDefault="00463D05" w:rsidP="00463D05">
      <w:pPr>
        <w:pStyle w:val="Heading1"/>
      </w:pPr>
      <w:bookmarkStart w:id="0" w:name="_Ref178064866"/>
      <w:r>
        <w:t>2</w:t>
      </w:r>
      <w:r>
        <w:tab/>
      </w:r>
      <w:r w:rsidR="004000E8" w:rsidRPr="00CE0424">
        <w:t>Discussion</w:t>
      </w:r>
      <w:bookmarkEnd w:id="0"/>
    </w:p>
    <w:p w14:paraId="310B7BBE" w14:textId="4EBF0F0A" w:rsidR="00F63950" w:rsidRDefault="00463D05" w:rsidP="00463D05">
      <w:pPr>
        <w:pStyle w:val="Heading2"/>
      </w:pPr>
      <w:r>
        <w:t>2.1</w:t>
      </w:r>
      <w:r>
        <w:tab/>
      </w:r>
      <w:r w:rsidR="00EE424A">
        <w:t>Identification of Mobile IAB cell</w:t>
      </w:r>
    </w:p>
    <w:p w14:paraId="29DB155F" w14:textId="47B22D59" w:rsidR="00EE424A" w:rsidRDefault="00EE424A" w:rsidP="005F43B0">
      <w:pPr>
        <w:pStyle w:val="BodyText"/>
      </w:pPr>
      <w:r>
        <w:t xml:space="preserve">When the UE accesses a cell, it should be able to understand what sort of cell it is. In legacy there </w:t>
      </w:r>
      <w:r w:rsidR="00AD02A0">
        <w:t>are</w:t>
      </w:r>
      <w:r>
        <w:t xml:space="preserve"> only static cells whereas now with mobile IAB the cells would be mobile. Hence, at least the new release UEs (supporting rel-18) should be able to understand whether the connectivity is via mobile IAB cell or static cell.</w:t>
      </w:r>
    </w:p>
    <w:p w14:paraId="3ACBE26F" w14:textId="198288B9" w:rsidR="00EE424A" w:rsidRDefault="00EE424A" w:rsidP="005F43B0">
      <w:pPr>
        <w:pStyle w:val="BodyText"/>
      </w:pPr>
      <w:r>
        <w:t xml:space="preserve">There can be few benefits of identifying if </w:t>
      </w:r>
      <w:r w:rsidR="00AD02A0">
        <w:t>a UE</w:t>
      </w:r>
      <w:r>
        <w:t xml:space="preserve"> is connected via mobile IAB cell such as:</w:t>
      </w:r>
    </w:p>
    <w:p w14:paraId="47F5059D" w14:textId="3CBBE552" w:rsidR="00EE424A" w:rsidRPr="000E236C" w:rsidRDefault="00EE424A" w:rsidP="005F43B0">
      <w:pPr>
        <w:pStyle w:val="BodyText"/>
        <w:numPr>
          <w:ilvl w:val="0"/>
          <w:numId w:val="34"/>
        </w:numPr>
        <w:rPr>
          <w:rFonts w:cs="Arial"/>
        </w:rPr>
      </w:pPr>
      <w:r w:rsidRPr="005F43B0">
        <w:t xml:space="preserve">No need </w:t>
      </w:r>
      <w:r w:rsidR="00A07E44" w:rsidRPr="000E236C">
        <w:rPr>
          <w:rFonts w:cs="Arial"/>
        </w:rPr>
        <w:t>of handover</w:t>
      </w:r>
      <w:r w:rsidRPr="000E236C">
        <w:rPr>
          <w:rFonts w:cs="Arial"/>
        </w:rPr>
        <w:t xml:space="preserve">/cell reselection </w:t>
      </w:r>
      <w:r w:rsidR="005A7FCA" w:rsidRPr="000E236C">
        <w:rPr>
          <w:rFonts w:cs="Arial"/>
        </w:rPr>
        <w:t>if</w:t>
      </w:r>
      <w:r w:rsidRPr="000E236C">
        <w:rPr>
          <w:rFonts w:cs="Arial"/>
        </w:rPr>
        <w:t xml:space="preserve"> it is connected via mobile IAB cells</w:t>
      </w:r>
    </w:p>
    <w:p w14:paraId="4D4E76B0" w14:textId="0C5BEDBA" w:rsidR="00EE424A" w:rsidRDefault="00EE424A" w:rsidP="005F43B0">
      <w:pPr>
        <w:pStyle w:val="BodyText"/>
        <w:numPr>
          <w:ilvl w:val="0"/>
          <w:numId w:val="34"/>
        </w:numPr>
      </w:pPr>
      <w:r w:rsidRPr="005F43B0">
        <w:t>Relaxed neighbo</w:t>
      </w:r>
      <w:r w:rsidR="00454BBD" w:rsidRPr="005F43B0">
        <w:t>u</w:t>
      </w:r>
      <w:r w:rsidRPr="005F43B0">
        <w:t>r cell measurement</w:t>
      </w:r>
    </w:p>
    <w:p w14:paraId="5BE97D2F" w14:textId="3459E169" w:rsidR="00EE424A" w:rsidRDefault="00EE424A" w:rsidP="005F43B0">
      <w:pPr>
        <w:pStyle w:val="BodyText"/>
      </w:pPr>
      <w:r>
        <w:t>Further, it is possible for the UEs to keep track of serving cell signal strength</w:t>
      </w:r>
      <w:r w:rsidR="000E236C">
        <w:t>,</w:t>
      </w:r>
      <w:r>
        <w:t xml:space="preserve"> and as long as the RSRP is within certain limit and with a marginal </w:t>
      </w:r>
      <w:r w:rsidR="005A3507">
        <w:t>variance</w:t>
      </w:r>
      <w:r>
        <w:t xml:space="preserve"> </w:t>
      </w:r>
      <w:r w:rsidR="000E236C">
        <w:t xml:space="preserve">the UE </w:t>
      </w:r>
      <w:r>
        <w:t xml:space="preserve">can understand </w:t>
      </w:r>
      <w:r w:rsidR="00F946D2">
        <w:t xml:space="preserve">if it </w:t>
      </w:r>
      <w:r w:rsidR="005A3507">
        <w:t>is still</w:t>
      </w:r>
      <w:r>
        <w:t xml:space="preserve"> in </w:t>
      </w:r>
      <w:r w:rsidR="000E236C">
        <w:t xml:space="preserve">a </w:t>
      </w:r>
      <w:r>
        <w:t xml:space="preserve">mobile cell. However, if there are fluctuations and serving cell signal strength is no longer with in certain </w:t>
      </w:r>
      <w:r w:rsidR="00C4693C">
        <w:t>range</w:t>
      </w:r>
      <w:r w:rsidR="00BE173D">
        <w:t xml:space="preserve">, </w:t>
      </w:r>
      <w:r>
        <w:t>the UE may realize that it has got of</w:t>
      </w:r>
      <w:r w:rsidR="000E236C">
        <w:t>f</w:t>
      </w:r>
      <w:r>
        <w:t xml:space="preserve"> the mobile cell (bus, train etc</w:t>
      </w:r>
      <w:r w:rsidR="005A7FCA">
        <w:t>),</w:t>
      </w:r>
      <w:r>
        <w:t xml:space="preserve"> and it may need to </w:t>
      </w:r>
      <w:r w:rsidR="005A7FCA">
        <w:t>perform cell re</w:t>
      </w:r>
      <w:r w:rsidR="00BE173D">
        <w:t>-</w:t>
      </w:r>
      <w:r w:rsidR="005A7FCA">
        <w:t xml:space="preserve">selection </w:t>
      </w:r>
      <w:r>
        <w:t xml:space="preserve">to </w:t>
      </w:r>
      <w:r w:rsidR="000E236C">
        <w:t xml:space="preserve">a </w:t>
      </w:r>
      <w:r>
        <w:t xml:space="preserve">static </w:t>
      </w:r>
      <w:r w:rsidR="005A3507">
        <w:t>cell,</w:t>
      </w:r>
      <w:r w:rsidR="005A7FCA">
        <w:t xml:space="preserve"> i.e</w:t>
      </w:r>
      <w:r w:rsidR="00BE173D">
        <w:t>.,</w:t>
      </w:r>
      <w:r w:rsidR="005A7FCA">
        <w:t xml:space="preserve"> no longer</w:t>
      </w:r>
      <w:r w:rsidR="000E236C">
        <w:t xml:space="preserve"> is</w:t>
      </w:r>
      <w:r w:rsidR="005A7FCA">
        <w:t xml:space="preserve"> the relaxed neighbo</w:t>
      </w:r>
      <w:r w:rsidR="00BE173D">
        <w:t>u</w:t>
      </w:r>
      <w:r w:rsidR="005A7FCA">
        <w:t>r cell measurement applicable.</w:t>
      </w:r>
    </w:p>
    <w:p w14:paraId="1784342D" w14:textId="7D218584" w:rsidR="005A7FCA" w:rsidRPr="009872F4" w:rsidRDefault="009872F4" w:rsidP="00FF3B47">
      <w:pPr>
        <w:pStyle w:val="Observation"/>
      </w:pPr>
      <w:bookmarkStart w:id="1" w:name="_Toc111017461"/>
      <w:bookmarkStart w:id="2" w:name="_Toc118410438"/>
      <w:r w:rsidRPr="009872F4">
        <w:t>Early identification of a mobile IAB cell may help a UE to avoid the triggering of unnecessary RRC procedures</w:t>
      </w:r>
      <w:r w:rsidR="31D049A0" w:rsidRPr="009872F4">
        <w:t>.</w:t>
      </w:r>
      <w:bookmarkEnd w:id="1"/>
      <w:bookmarkEnd w:id="2"/>
    </w:p>
    <w:p w14:paraId="7B9484F3" w14:textId="3BDF7179" w:rsidR="00471ECA" w:rsidRDefault="00594168" w:rsidP="00594168">
      <w:pPr>
        <w:pStyle w:val="BodyText"/>
      </w:pPr>
      <w:r>
        <w:t xml:space="preserve">In the last RAN2#119-bis-e meeting, RAN2 discussed this </w:t>
      </w:r>
      <w:r w:rsidR="00E93667">
        <w:t>issue,</w:t>
      </w:r>
      <w:r w:rsidR="00F3650D">
        <w:t xml:space="preserve"> and the following agreements were made:</w:t>
      </w:r>
    </w:p>
    <w:p w14:paraId="244C5F56" w14:textId="5BAB7BC0" w:rsidR="00471ECA" w:rsidRDefault="00471ECA" w:rsidP="00471ECA">
      <w:pPr>
        <w:pStyle w:val="Agreement"/>
        <w:pBdr>
          <w:top w:val="single" w:sz="4" w:space="1" w:color="auto"/>
          <w:left w:val="single" w:sz="4" w:space="4" w:color="auto"/>
          <w:bottom w:val="single" w:sz="4" w:space="1" w:color="auto"/>
          <w:right w:val="single" w:sz="4" w:space="4" w:color="auto"/>
        </w:pBdr>
      </w:pPr>
      <w:r>
        <w:t>RAN2 confirms that Mobile IAB need to work with legacy UEs.</w:t>
      </w:r>
    </w:p>
    <w:p w14:paraId="346DA4E4" w14:textId="4F059E7B" w:rsidR="00471ECA" w:rsidRPr="00471ECA" w:rsidRDefault="00471ECA" w:rsidP="00471ECA">
      <w:pPr>
        <w:pStyle w:val="Agreement"/>
        <w:pBdr>
          <w:top w:val="single" w:sz="4" w:space="1" w:color="auto"/>
          <w:left w:val="single" w:sz="4" w:space="4" w:color="auto"/>
          <w:bottom w:val="single" w:sz="4" w:space="1" w:color="auto"/>
          <w:right w:val="single" w:sz="4" w:space="4" w:color="auto"/>
        </w:pBdr>
      </w:pPr>
      <w:r>
        <w:t>RAN2 observes that a UE could potentially consider itself on-board of a mobile-IAB cell, if the UE camps on/connects to a mobile IAB cell during a long period (i.e. the UE then need to know that this is such a cell). FFS the time. FFS if this is needed.</w:t>
      </w:r>
    </w:p>
    <w:p w14:paraId="29DD8BD9" w14:textId="1F516227" w:rsidR="00F3650D" w:rsidRDefault="00F3650D" w:rsidP="00F3650D">
      <w:pPr>
        <w:pStyle w:val="Agreement"/>
        <w:pBdr>
          <w:top w:val="single" w:sz="4" w:space="1" w:color="auto"/>
          <w:left w:val="single" w:sz="4" w:space="4" w:color="auto"/>
          <w:bottom w:val="single" w:sz="4" w:space="1" w:color="auto"/>
          <w:right w:val="single" w:sz="4" w:space="4" w:color="auto"/>
        </w:pBdr>
      </w:pPr>
      <w:r>
        <w:t>RAN2 assumption: For the mobile IAB cell broadcasting info:</w:t>
      </w:r>
    </w:p>
    <w:p w14:paraId="334ADC2C" w14:textId="77777777" w:rsidR="00F3650D" w:rsidRDefault="00F3650D" w:rsidP="00E93667">
      <w:pPr>
        <w:pStyle w:val="Agreement"/>
        <w:numPr>
          <w:ilvl w:val="0"/>
          <w:numId w:val="0"/>
        </w:numPr>
        <w:pBdr>
          <w:top w:val="single" w:sz="4" w:space="1" w:color="auto"/>
          <w:left w:val="single" w:sz="4" w:space="4" w:color="auto"/>
          <w:bottom w:val="single" w:sz="4" w:space="1" w:color="auto"/>
          <w:right w:val="single" w:sz="4" w:space="4" w:color="auto"/>
        </w:pBdr>
        <w:ind w:left="1259"/>
      </w:pPr>
      <w:r>
        <w:lastRenderedPageBreak/>
        <w:t>1 bit mobile-IAB cell type indication is introduced, to assist mobility in Idle/Inactive mode for Rel-18 UEs (FFS if to assist UE to know it is onboard, if this need to be known)</w:t>
      </w:r>
    </w:p>
    <w:p w14:paraId="59ED63BE" w14:textId="77777777" w:rsidR="00F3650D" w:rsidRDefault="00F3650D" w:rsidP="00E9366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FFS how this is used (might be implementation specific).</w:t>
      </w:r>
    </w:p>
    <w:p w14:paraId="781D0204" w14:textId="77777777" w:rsidR="00F3650D" w:rsidRDefault="00F3650D" w:rsidP="00594168">
      <w:pPr>
        <w:pStyle w:val="BodyText"/>
      </w:pPr>
    </w:p>
    <w:p w14:paraId="57BF0B3E" w14:textId="580B61A1" w:rsidR="00E93667" w:rsidRDefault="00821D94" w:rsidP="00594168">
      <w:pPr>
        <w:pStyle w:val="BodyText"/>
      </w:pPr>
      <w:r>
        <w:t>According to the FFSs captured in the agreement, two issues that need still to be clarifies are if the indication we agree to broadcast can be used by the UEs to consider themselves as “onboard” UEs, also if this indication can also be used to improve some RRC procedure</w:t>
      </w:r>
      <w:r w:rsidR="005532E2">
        <w:t>s</w:t>
      </w:r>
      <w:r>
        <w:t xml:space="preserve"> as the cell (re)selection.</w:t>
      </w:r>
    </w:p>
    <w:p w14:paraId="3E2A7381" w14:textId="3A34742F" w:rsidR="00821D94" w:rsidRDefault="00361FC4" w:rsidP="00594168">
      <w:pPr>
        <w:pStyle w:val="BodyText"/>
      </w:pPr>
      <w:r>
        <w:t xml:space="preserve">Since the indication </w:t>
      </w:r>
      <w:r w:rsidR="00D47116">
        <w:t xml:space="preserve">on whether a certain cell is a “mobile-IAB” cell is broadcasted in a SIB, this basically means that this indication may be received by UE that </w:t>
      </w:r>
      <w:r w:rsidR="00F15C28">
        <w:t xml:space="preserve">are in the vehicle in which the mobile IAB is mounted. Therefore, if we enforce a UE behaviour based on the presence or absence of this indication, this may have also an impact on those UE that </w:t>
      </w:r>
      <w:r w:rsidR="007128E9">
        <w:t>have no interest in connecting to a mobile IAB cell.</w:t>
      </w:r>
      <w:r w:rsidR="00AC5C95">
        <w:t xml:space="preserve"> In fact, is extremely </w:t>
      </w:r>
      <w:r w:rsidR="00CB6562">
        <w:t>difficult</w:t>
      </w:r>
      <w:r w:rsidR="00AC5C95">
        <w:t xml:space="preserve"> to characterize a </w:t>
      </w:r>
      <w:r w:rsidR="00CB6562">
        <w:t xml:space="preserve">solution to understand on whether a UE is “onboard” or not. According to this, since also the UE may have </w:t>
      </w:r>
      <w:r w:rsidR="006D402E">
        <w:t xml:space="preserve">its own implementation or may use technologies that outside of the 3GPP sphere to understand whether it is “onboard”, </w:t>
      </w:r>
      <w:r w:rsidR="001A5DD2">
        <w:t>it would be good to leave this decision entirely up to the UE implementation.</w:t>
      </w:r>
    </w:p>
    <w:p w14:paraId="4511757A" w14:textId="4E6A01FE" w:rsidR="001A5DD2" w:rsidRDefault="001A5DD2" w:rsidP="001A5DD2">
      <w:pPr>
        <w:pStyle w:val="Proposal"/>
      </w:pPr>
      <w:bookmarkStart w:id="3" w:name="_Toc118410442"/>
      <w:r>
        <w:t>How a UE understands that is an onboard UE is up to the UE implementation.</w:t>
      </w:r>
      <w:bookmarkEnd w:id="3"/>
    </w:p>
    <w:p w14:paraId="1EAB40F1" w14:textId="2F74F6DB" w:rsidR="00463D05" w:rsidRDefault="005532E2" w:rsidP="005532E2">
      <w:pPr>
        <w:pStyle w:val="BodyText"/>
      </w:pPr>
      <w:r w:rsidRPr="005532E2">
        <w:t xml:space="preserve">Another question is if the UE can use the indication that a certain cell is a “mobile-IAB” cell to improve some RRC procedure. </w:t>
      </w:r>
      <w:r>
        <w:t xml:space="preserve">However, in order to assume that a UE is capable to do so, the fundamental pre-requisite that is needed is the understanding by the UE that is an “onboard” UE. Without this understanding, it is true that </w:t>
      </w:r>
      <w:r w:rsidR="00282F55">
        <w:t xml:space="preserve">system operation may be more efficient for those UEs that are physically located inside the vehicle in which the mobile IAB is </w:t>
      </w:r>
      <w:r w:rsidR="007A44D8">
        <w:t>mounted but</w:t>
      </w:r>
      <w:r w:rsidR="00282F55">
        <w:t xml:space="preserve"> is also true that this may also have a negative impact for those surrounding UE that should not connect to the mobile IAB cell. According to this, we propose:</w:t>
      </w:r>
    </w:p>
    <w:p w14:paraId="3C4867A7" w14:textId="48580D45" w:rsidR="00282F55" w:rsidRPr="005532E2" w:rsidRDefault="00282F55" w:rsidP="00282F55">
      <w:pPr>
        <w:pStyle w:val="Proposal"/>
      </w:pPr>
      <w:bookmarkStart w:id="4" w:name="_Toc118410443"/>
      <w:r>
        <w:t xml:space="preserve">How the UE uses the </w:t>
      </w:r>
      <w:r w:rsidR="00762329">
        <w:t>mobile-IAB cell type indication that is broadcasted is up to the UE implementation.</w:t>
      </w:r>
      <w:bookmarkEnd w:id="4"/>
    </w:p>
    <w:p w14:paraId="3FE5C0DF" w14:textId="0D2FD035" w:rsidR="002E4AAE" w:rsidRDefault="00463D05" w:rsidP="00463D05">
      <w:pPr>
        <w:pStyle w:val="Heading2"/>
      </w:pPr>
      <w:r>
        <w:t>2.2</w:t>
      </w:r>
      <w:r>
        <w:tab/>
      </w:r>
      <w:r w:rsidR="002E4AAE">
        <w:t xml:space="preserve">Usage of </w:t>
      </w:r>
      <w:r w:rsidR="001920BD">
        <w:t>pre-</w:t>
      </w:r>
      <w:r w:rsidR="002E4AAE">
        <w:t>configurations</w:t>
      </w:r>
      <w:r w:rsidR="00A6583A">
        <w:t xml:space="preserve"> for </w:t>
      </w:r>
      <w:r w:rsidR="001920BD">
        <w:t>handling</w:t>
      </w:r>
      <w:r w:rsidR="00A6583A">
        <w:t xml:space="preserve"> of mobile IAB node</w:t>
      </w:r>
      <w:r w:rsidR="001920BD">
        <w:t xml:space="preserve"> mobility</w:t>
      </w:r>
    </w:p>
    <w:p w14:paraId="4A16FE68" w14:textId="095A00AD" w:rsidR="00F47005" w:rsidRDefault="002E4AAE" w:rsidP="001920BD">
      <w:pPr>
        <w:pStyle w:val="BodyText"/>
      </w:pPr>
      <w:r>
        <w:t xml:space="preserve">Previous </w:t>
      </w:r>
      <w:r w:rsidR="00740466">
        <w:t xml:space="preserve">IAB </w:t>
      </w:r>
      <w:r>
        <w:t>release</w:t>
      </w:r>
      <w:r w:rsidR="00740466">
        <w:t xml:space="preserve"> work</w:t>
      </w:r>
      <w:r>
        <w:t xml:space="preserve"> discusse</w:t>
      </w:r>
      <w:r w:rsidR="00740466">
        <w:t>d</w:t>
      </w:r>
      <w:r>
        <w:t xml:space="preserve"> the migration of static </w:t>
      </w:r>
      <w:r w:rsidR="00B53215">
        <w:t>IAB-</w:t>
      </w:r>
      <w:r>
        <w:t>node</w:t>
      </w:r>
      <w:r w:rsidR="00B53215">
        <w:t>s</w:t>
      </w:r>
      <w:r>
        <w:t xml:space="preserve"> </w:t>
      </w:r>
      <w:r w:rsidR="00B53215">
        <w:t xml:space="preserve">in </w:t>
      </w:r>
      <w:r>
        <w:t xml:space="preserve">intra-CU and inter-CU scenarios mainly </w:t>
      </w:r>
      <w:r w:rsidR="00B53215">
        <w:t xml:space="preserve">in </w:t>
      </w:r>
      <w:r w:rsidR="0023604A">
        <w:t>context</w:t>
      </w:r>
      <w:r>
        <w:t xml:space="preserve"> of RLF and </w:t>
      </w:r>
      <w:r w:rsidR="00B53215">
        <w:t>load balancing</w:t>
      </w:r>
      <w:r>
        <w:t xml:space="preserve">. </w:t>
      </w:r>
      <w:r w:rsidR="00B53215">
        <w:t>Rel-18</w:t>
      </w:r>
      <w:r>
        <w:t xml:space="preserve"> needs to also address </w:t>
      </w:r>
      <w:r w:rsidR="00381355">
        <w:t xml:space="preserve">IAB-node </w:t>
      </w:r>
      <w:r>
        <w:t>migration because of mobility.</w:t>
      </w:r>
      <w:r w:rsidR="00F47005">
        <w:t xml:space="preserve"> The </w:t>
      </w:r>
      <w:r w:rsidR="00381355">
        <w:t>IAB-node</w:t>
      </w:r>
      <w:r w:rsidR="00F47005">
        <w:t xml:space="preserve"> migration is considered to be a complex procedure as lot of config</w:t>
      </w:r>
      <w:r w:rsidR="00B53215">
        <w:t>uration</w:t>
      </w:r>
      <w:r w:rsidR="00F47005">
        <w:t xml:space="preserve"> parameter</w:t>
      </w:r>
      <w:r w:rsidR="00B53215">
        <w:t>s</w:t>
      </w:r>
      <w:r w:rsidR="00F47005">
        <w:t xml:space="preserve"> need to be provided </w:t>
      </w:r>
      <w:r w:rsidR="00A224D3">
        <w:t xml:space="preserve">again </w:t>
      </w:r>
      <w:r w:rsidR="00F47005">
        <w:t>especially for</w:t>
      </w:r>
      <w:r w:rsidR="00B53215">
        <w:t xml:space="preserve"> the</w:t>
      </w:r>
      <w:r w:rsidR="00F47005">
        <w:t xml:space="preserve"> inter-CU case.</w:t>
      </w:r>
      <w:r>
        <w:t xml:space="preserve"> </w:t>
      </w:r>
      <w:r w:rsidR="00A224D3">
        <w:t>Further, there is also risk of service interruption etc.</w:t>
      </w:r>
    </w:p>
    <w:p w14:paraId="7F2F6A39" w14:textId="5CD898E7" w:rsidR="002E4AAE" w:rsidRDefault="002E4AAE" w:rsidP="001920BD">
      <w:pPr>
        <w:pStyle w:val="BodyText"/>
      </w:pPr>
      <w:r>
        <w:t xml:space="preserve">However, one </w:t>
      </w:r>
      <w:r w:rsidR="00B53215">
        <w:t>mobile IAB-node property</w:t>
      </w:r>
      <w:r w:rsidR="00F47005">
        <w:t xml:space="preserve"> that can be exploited</w:t>
      </w:r>
      <w:r w:rsidR="00B53215">
        <w:t>,</w:t>
      </w:r>
      <w:r w:rsidR="00F47005">
        <w:t xml:space="preserve"> and the signal</w:t>
      </w:r>
      <w:r w:rsidR="00ED4FA0">
        <w:t>l</w:t>
      </w:r>
      <w:r w:rsidR="00F47005">
        <w:t xml:space="preserve">ing aspects can be minimized is by using the known routes/path of the mobile IAB node. If it is known that </w:t>
      </w:r>
      <w:r w:rsidR="00ED4FA0">
        <w:t xml:space="preserve">a </w:t>
      </w:r>
      <w:r w:rsidR="00F47005">
        <w:t xml:space="preserve">city bus equipped with </w:t>
      </w:r>
      <w:r w:rsidR="00ED4FA0">
        <w:t xml:space="preserve">a </w:t>
      </w:r>
      <w:r w:rsidR="00F47005">
        <w:t xml:space="preserve">mobile IAB cell follows a certain route and at </w:t>
      </w:r>
      <w:r w:rsidR="00ED4FA0">
        <w:t xml:space="preserve">a </w:t>
      </w:r>
      <w:r w:rsidR="00F47005">
        <w:t xml:space="preserve">particular time reaches a particular destination then this known traffic pattern can be exploited such that </w:t>
      </w:r>
      <w:r w:rsidR="00B53215">
        <w:t xml:space="preserve">a </w:t>
      </w:r>
      <w:r w:rsidR="00F47005">
        <w:t xml:space="preserve">configuration can be stored and activated when the mobile IAB node reaches a new cell (parent IAB node, new CU) etc. There can be some parameters which can be stored in the mobile IAB node whereas there can be some parameters that can be stored in each static </w:t>
      </w:r>
      <w:r w:rsidR="00BA426C">
        <w:t xml:space="preserve">parent </w:t>
      </w:r>
      <w:r w:rsidR="00F47005">
        <w:t xml:space="preserve">IAB nodes </w:t>
      </w:r>
      <w:r w:rsidR="00795058">
        <w:t>which a mobile IAB would connect to</w:t>
      </w:r>
      <w:r w:rsidR="00F47005">
        <w:t>.</w:t>
      </w:r>
    </w:p>
    <w:p w14:paraId="32F34633" w14:textId="70EC5D80" w:rsidR="00A224D3" w:rsidRDefault="00A224D3" w:rsidP="002E4AAE">
      <w:r>
        <w:rPr>
          <w:noProof/>
        </w:rPr>
        <w:lastRenderedPageBreak/>
        <w:drawing>
          <wp:inline distT="0" distB="0" distL="0" distR="0" wp14:anchorId="36CBDC5B" wp14:editId="45D1556B">
            <wp:extent cx="5760720" cy="3756660"/>
            <wp:effectExtent l="0" t="0" r="0" b="0"/>
            <wp:docPr id="112" name="Picture 112"/>
            <wp:cNvGraphicFramePr/>
            <a:graphic xmlns:a="http://schemas.openxmlformats.org/drawingml/2006/main">
              <a:graphicData uri="http://schemas.openxmlformats.org/drawingml/2006/picture">
                <pic:pic xmlns:pic="http://schemas.openxmlformats.org/drawingml/2006/picture">
                  <pic:nvPicPr>
                    <pic:cNvPr id="112" name="Picture 112"/>
                    <pic:cNvPicPr/>
                  </pic:nvPicPr>
                  <pic:blipFill>
                    <a:blip r:embed="rId11"/>
                    <a:stretch>
                      <a:fillRect/>
                    </a:stretch>
                  </pic:blipFill>
                  <pic:spPr>
                    <a:xfrm>
                      <a:off x="0" y="0"/>
                      <a:ext cx="5760720" cy="3756660"/>
                    </a:xfrm>
                    <a:prstGeom prst="rect">
                      <a:avLst/>
                    </a:prstGeom>
                  </pic:spPr>
                </pic:pic>
              </a:graphicData>
            </a:graphic>
          </wp:inline>
        </w:drawing>
      </w:r>
    </w:p>
    <w:p w14:paraId="12FE4426" w14:textId="45DCA89C" w:rsidR="00A5768B" w:rsidRDefault="00A5768B" w:rsidP="00806C85">
      <w:pPr>
        <w:pStyle w:val="BodyText"/>
        <w:rPr>
          <w:rStyle w:val="IvDbodytextChar"/>
          <w:rFonts w:cs="Times New Roman"/>
          <w:b/>
          <w:bCs/>
          <w:i/>
          <w:lang w:eastAsia="en-US"/>
        </w:rPr>
      </w:pPr>
      <w:r>
        <w:rPr>
          <w:rStyle w:val="IvDbodytextChar"/>
          <w:rFonts w:cs="Times New Roman"/>
          <w:b/>
        </w:rPr>
        <w:t>Figure</w:t>
      </w:r>
      <w:r w:rsidR="00DF690B">
        <w:rPr>
          <w:rStyle w:val="IvDbodytextChar"/>
          <w:rFonts w:cs="Times New Roman"/>
          <w:b/>
        </w:rPr>
        <w:t xml:space="preserve"> </w:t>
      </w:r>
      <w:r w:rsidR="001920BD">
        <w:rPr>
          <w:rStyle w:val="IvDbodytextChar"/>
          <w:rFonts w:cs="Times New Roman"/>
          <w:b/>
          <w:bCs/>
          <w:i/>
        </w:rPr>
        <w:t>2</w:t>
      </w:r>
      <w:r>
        <w:rPr>
          <w:rStyle w:val="IvDbodytextChar"/>
          <w:rFonts w:cs="Times New Roman"/>
          <w:b/>
        </w:rPr>
        <w:t>: Mobile IAB-</w:t>
      </w:r>
      <w:r>
        <w:rPr>
          <w:rStyle w:val="IvDbodytextChar"/>
          <w:rFonts w:cs="Times New Roman"/>
          <w:b/>
          <w:bCs/>
          <w:i/>
        </w:rPr>
        <w:t>Node which involves Intra-Donor, Inter-Donor (same CU) and Inter CUs.</w:t>
      </w:r>
    </w:p>
    <w:p w14:paraId="0B593CC9" w14:textId="2A0F1700" w:rsidR="00A5768B" w:rsidRDefault="00A5768B" w:rsidP="00806C85">
      <w:pPr>
        <w:pStyle w:val="BodyText"/>
        <w:rPr>
          <w:rStyle w:val="IvDbodytextChar"/>
          <w:rFonts w:cs="Times New Roman"/>
          <w:i/>
        </w:rPr>
      </w:pPr>
      <w:r>
        <w:rPr>
          <w:rStyle w:val="IvDbodytextChar"/>
          <w:rFonts w:cs="Times New Roman"/>
        </w:rPr>
        <w:t>In above figure, the mobile IAB node maintains an F1 conne</w:t>
      </w:r>
      <w:r>
        <w:rPr>
          <w:rStyle w:val="IvDbodytextChar"/>
          <w:rFonts w:cs="Times New Roman"/>
          <w:i/>
        </w:rPr>
        <w:t>ction to the donor (one donor at a time). In the figure, the mobile IAB connects to the following nodes in the different positions as described below:</w:t>
      </w:r>
    </w:p>
    <w:p w14:paraId="797DAB74" w14:textId="77777777" w:rsidR="00A5768B" w:rsidRDefault="00A5768B" w:rsidP="00806C85">
      <w:pPr>
        <w:pStyle w:val="BodyText"/>
        <w:numPr>
          <w:ilvl w:val="0"/>
          <w:numId w:val="36"/>
        </w:numPr>
        <w:rPr>
          <w:rStyle w:val="IvDbodytextChar"/>
          <w:rFonts w:cs="Times New Roman"/>
          <w:b/>
          <w:bCs/>
          <w:i/>
        </w:rPr>
      </w:pPr>
      <w:r>
        <w:rPr>
          <w:rStyle w:val="IvDbodytextChar"/>
          <w:rFonts w:cs="Times New Roman"/>
          <w:b/>
        </w:rPr>
        <w:t xml:space="preserve">Position A: </w:t>
      </w:r>
      <w:r>
        <w:rPr>
          <w:rStyle w:val="IvDbodytextChar"/>
          <w:rFonts w:cs="Times New Roman"/>
          <w:i/>
        </w:rPr>
        <w:t>BH through parent node 1, F1 connection to donor node X</w:t>
      </w:r>
      <w:r>
        <w:rPr>
          <w:rStyle w:val="IvDbodytextChar"/>
          <w:rFonts w:cs="Times New Roman"/>
          <w:b/>
          <w:bCs/>
          <w:i/>
        </w:rPr>
        <w:t xml:space="preserve"> </w:t>
      </w:r>
    </w:p>
    <w:p w14:paraId="6527896F" w14:textId="77777777" w:rsidR="00A5768B" w:rsidRDefault="00A5768B" w:rsidP="00806C85">
      <w:pPr>
        <w:pStyle w:val="BodyText"/>
        <w:numPr>
          <w:ilvl w:val="0"/>
          <w:numId w:val="36"/>
        </w:numPr>
        <w:rPr>
          <w:rStyle w:val="IvDbodytextChar"/>
          <w:rFonts w:cs="Times New Roman"/>
          <w:b/>
          <w:bCs/>
          <w:i/>
        </w:rPr>
      </w:pPr>
      <w:r>
        <w:rPr>
          <w:rStyle w:val="IvDbodytextChar"/>
          <w:rFonts w:cs="Times New Roman"/>
          <w:b/>
        </w:rPr>
        <w:t xml:space="preserve">Position B: </w:t>
      </w:r>
      <w:r>
        <w:rPr>
          <w:rStyle w:val="IvDbodytextChar"/>
          <w:rFonts w:cs="Times New Roman"/>
          <w:i/>
        </w:rPr>
        <w:t>BH through parent node 2, F1 connection to donor node X</w:t>
      </w:r>
    </w:p>
    <w:p w14:paraId="38D050C0" w14:textId="77777777" w:rsidR="00A5768B" w:rsidRDefault="00A5768B" w:rsidP="00806C85">
      <w:pPr>
        <w:pStyle w:val="BodyText"/>
        <w:numPr>
          <w:ilvl w:val="0"/>
          <w:numId w:val="36"/>
        </w:numPr>
        <w:rPr>
          <w:rStyle w:val="IvDbodytextChar"/>
          <w:rFonts w:cs="Times New Roman"/>
          <w:b/>
          <w:bCs/>
          <w:i/>
        </w:rPr>
      </w:pPr>
      <w:r>
        <w:rPr>
          <w:rStyle w:val="IvDbodytextChar"/>
          <w:rFonts w:cs="Times New Roman"/>
          <w:b/>
        </w:rPr>
        <w:t xml:space="preserve">Position C: </w:t>
      </w:r>
      <w:r>
        <w:rPr>
          <w:rStyle w:val="IvDbodytextChar"/>
          <w:rFonts w:cs="Times New Roman"/>
          <w:i/>
        </w:rPr>
        <w:t>BH through parent node 3, F1 connection to donor node Y</w:t>
      </w:r>
      <w:r>
        <w:rPr>
          <w:rStyle w:val="IvDbodytextChar"/>
          <w:rFonts w:cs="Times New Roman"/>
          <w:b/>
          <w:bCs/>
          <w:i/>
        </w:rPr>
        <w:t xml:space="preserve"> </w:t>
      </w:r>
    </w:p>
    <w:p w14:paraId="2AB69F08" w14:textId="77777777" w:rsidR="00A5768B" w:rsidRDefault="00A5768B" w:rsidP="00806C85">
      <w:pPr>
        <w:pStyle w:val="BodyText"/>
        <w:numPr>
          <w:ilvl w:val="0"/>
          <w:numId w:val="36"/>
        </w:numPr>
        <w:rPr>
          <w:rStyle w:val="IvDbodytextChar"/>
          <w:rFonts w:cs="Times New Roman"/>
          <w:b/>
          <w:bCs/>
          <w:i/>
        </w:rPr>
      </w:pPr>
      <w:r>
        <w:rPr>
          <w:rStyle w:val="IvDbodytextChar"/>
          <w:rFonts w:cs="Times New Roman"/>
          <w:b/>
        </w:rPr>
        <w:t>Position D:</w:t>
      </w:r>
      <w:r>
        <w:rPr>
          <w:rStyle w:val="IvDbodytextChar"/>
          <w:rFonts w:cs="Times New Roman"/>
          <w:i/>
        </w:rPr>
        <w:t xml:space="preserve"> BH through parent node 4, F1 connection to donor node Y</w:t>
      </w:r>
      <w:r>
        <w:rPr>
          <w:rStyle w:val="IvDbodytextChar"/>
          <w:rFonts w:cs="Times New Roman"/>
          <w:b/>
          <w:bCs/>
          <w:i/>
        </w:rPr>
        <w:t xml:space="preserve"> </w:t>
      </w:r>
    </w:p>
    <w:p w14:paraId="3AFFC21C" w14:textId="406A03EE" w:rsidR="00A5768B" w:rsidRDefault="00A5768B" w:rsidP="00806C85">
      <w:pPr>
        <w:pStyle w:val="BodyText"/>
        <w:rPr>
          <w:rStyle w:val="IvDbodytextChar"/>
          <w:rFonts w:cs="Times New Roman"/>
          <w:i/>
        </w:rPr>
      </w:pPr>
      <w:r w:rsidRPr="00806C85">
        <w:rPr>
          <w:rStyle w:val="IvDbodytextChar"/>
          <w:rFonts w:cs="Times New Roman"/>
          <w:spacing w:val="0"/>
        </w:rPr>
        <w:t>The mobile IAB must change the F1 connection from donor X to donor Y when moving</w:t>
      </w:r>
      <w:r>
        <w:rPr>
          <w:rStyle w:val="IvDbodytextChar"/>
          <w:rFonts w:cs="Times New Roman"/>
          <w:i/>
        </w:rPr>
        <w:t xml:space="preserve"> from position B to C, thus requiring a F1 handover. </w:t>
      </w:r>
      <w:r w:rsidR="001A621C">
        <w:rPr>
          <w:rStyle w:val="IvDbodytextChar"/>
          <w:rFonts w:cs="Times New Roman"/>
          <w:i/>
        </w:rPr>
        <w:t>The F1 handover can be simplified by providing the needed IP address</w:t>
      </w:r>
      <w:r w:rsidR="00A67E53">
        <w:rPr>
          <w:rStyle w:val="IvDbodytextChar"/>
          <w:rFonts w:cs="Times New Roman"/>
          <w:i/>
        </w:rPr>
        <w:t>es</w:t>
      </w:r>
      <w:r w:rsidR="001A621C">
        <w:rPr>
          <w:rStyle w:val="IvDbodytextChar"/>
          <w:rFonts w:cs="Times New Roman"/>
          <w:i/>
        </w:rPr>
        <w:t xml:space="preserve"> to connect to the new donor in advance. </w:t>
      </w:r>
      <w:r w:rsidR="00D201C1">
        <w:rPr>
          <w:rStyle w:val="IvDbodytextChar"/>
          <w:rFonts w:cs="Times New Roman"/>
          <w:i/>
        </w:rPr>
        <w:t>Simil</w:t>
      </w:r>
      <w:r w:rsidR="002D6539">
        <w:rPr>
          <w:rStyle w:val="IvDbodytextChar"/>
          <w:rFonts w:cs="Times New Roman"/>
          <w:i/>
        </w:rPr>
        <w:t>ar to F1</w:t>
      </w:r>
      <w:r w:rsidR="00D201C1">
        <w:rPr>
          <w:rStyle w:val="IvDbodytextChar"/>
          <w:rFonts w:cs="Times New Roman"/>
          <w:i/>
        </w:rPr>
        <w:t>,</w:t>
      </w:r>
      <w:r w:rsidR="001A621C">
        <w:rPr>
          <w:rStyle w:val="IvDbodytextChar"/>
          <w:rFonts w:cs="Times New Roman"/>
          <w:i/>
        </w:rPr>
        <w:t xml:space="preserve"> the BAP configuration can be pre</w:t>
      </w:r>
      <w:r w:rsidR="00A67E53">
        <w:rPr>
          <w:rStyle w:val="IvDbodytextChar"/>
          <w:rFonts w:cs="Times New Roman"/>
          <w:i/>
        </w:rPr>
        <w:t>-</w:t>
      </w:r>
      <w:r w:rsidR="001A621C">
        <w:rPr>
          <w:rStyle w:val="IvDbodytextChar"/>
          <w:rFonts w:cs="Times New Roman"/>
          <w:i/>
        </w:rPr>
        <w:t>stored</w:t>
      </w:r>
      <w:r w:rsidR="00D201C1">
        <w:rPr>
          <w:rStyle w:val="IvDbodytextChar"/>
          <w:rFonts w:cs="Times New Roman"/>
          <w:i/>
        </w:rPr>
        <w:t xml:space="preserve"> </w:t>
      </w:r>
      <w:r w:rsidR="00765A05">
        <w:rPr>
          <w:rStyle w:val="IvDbodytextChar"/>
          <w:rFonts w:cs="Times New Roman"/>
          <w:i/>
        </w:rPr>
        <w:t>in mIAB which would allow to reach to parent node (for up</w:t>
      </w:r>
      <w:r w:rsidR="002D6539">
        <w:rPr>
          <w:rStyle w:val="IvDbodytextChar"/>
          <w:rFonts w:cs="Times New Roman"/>
          <w:i/>
        </w:rPr>
        <w:t>stream traffic</w:t>
      </w:r>
      <w:r w:rsidR="00765A05">
        <w:rPr>
          <w:rStyle w:val="IvDbodytextChar"/>
          <w:rFonts w:cs="Times New Roman"/>
          <w:i/>
        </w:rPr>
        <w:t xml:space="preserve">). </w:t>
      </w:r>
      <w:r w:rsidR="002D6539">
        <w:rPr>
          <w:rStyle w:val="IvDbodytextChar"/>
          <w:rFonts w:cs="Times New Roman"/>
          <w:i/>
        </w:rPr>
        <w:t>T</w:t>
      </w:r>
      <w:r w:rsidR="00765A05">
        <w:rPr>
          <w:rStyle w:val="IvDbodytextChar"/>
          <w:rFonts w:cs="Times New Roman"/>
          <w:i/>
        </w:rPr>
        <w:t>he stationary node</w:t>
      </w:r>
      <w:r w:rsidR="00EF59F1">
        <w:rPr>
          <w:rStyle w:val="IvDbodytextChar"/>
          <w:rFonts w:cs="Times New Roman"/>
          <w:i/>
        </w:rPr>
        <w:t xml:space="preserve"> which conne</w:t>
      </w:r>
      <w:r w:rsidR="00C76127">
        <w:rPr>
          <w:rStyle w:val="IvDbodytextChar"/>
          <w:rFonts w:cs="Times New Roman"/>
          <w:i/>
        </w:rPr>
        <w:t>cts to mIAB node</w:t>
      </w:r>
      <w:r w:rsidR="00765A05">
        <w:rPr>
          <w:rStyle w:val="IvDbodytextChar"/>
          <w:rFonts w:cs="Times New Roman"/>
          <w:i/>
        </w:rPr>
        <w:t xml:space="preserve"> can</w:t>
      </w:r>
      <w:r w:rsidR="002D6539">
        <w:rPr>
          <w:rStyle w:val="IvDbodytextChar"/>
          <w:rFonts w:cs="Times New Roman"/>
          <w:i/>
        </w:rPr>
        <w:t xml:space="preserve"> also</w:t>
      </w:r>
      <w:r w:rsidR="00765A05">
        <w:rPr>
          <w:rStyle w:val="IvDbodytextChar"/>
          <w:rFonts w:cs="Times New Roman"/>
          <w:i/>
        </w:rPr>
        <w:t xml:space="preserve"> store the BAP configuration to reach to the mIAB</w:t>
      </w:r>
      <w:r w:rsidR="004C7414">
        <w:rPr>
          <w:rStyle w:val="IvDbodytextChar"/>
          <w:rFonts w:cs="Times New Roman"/>
          <w:i/>
        </w:rPr>
        <w:t xml:space="preserve"> (for down</w:t>
      </w:r>
      <w:r w:rsidR="002D6539">
        <w:rPr>
          <w:rStyle w:val="IvDbodytextChar"/>
          <w:rFonts w:cs="Times New Roman"/>
          <w:i/>
        </w:rPr>
        <w:t>stream traffic</w:t>
      </w:r>
      <w:r w:rsidR="004C7414">
        <w:rPr>
          <w:rStyle w:val="IvDbodytextChar"/>
          <w:rFonts w:cs="Times New Roman"/>
          <w:i/>
        </w:rPr>
        <w:t>)</w:t>
      </w:r>
      <w:r w:rsidR="002D6539">
        <w:rPr>
          <w:rStyle w:val="IvDbodytextChar"/>
          <w:rFonts w:cs="Times New Roman"/>
          <w:i/>
        </w:rPr>
        <w:t>.</w:t>
      </w:r>
    </w:p>
    <w:p w14:paraId="2A100FA4" w14:textId="7B6ADE9D" w:rsidR="00A717E3" w:rsidRDefault="00C54365" w:rsidP="00A717E3">
      <w:pPr>
        <w:pStyle w:val="BodyText"/>
      </w:pPr>
      <w:r>
        <w:rPr>
          <w:rStyle w:val="IvDbodytextChar"/>
          <w:rFonts w:cs="Times New Roman"/>
          <w:spacing w:val="0"/>
        </w:rPr>
        <w:t>I</w:t>
      </w:r>
      <w:r w:rsidR="00A66557" w:rsidRPr="00806C85">
        <w:rPr>
          <w:rStyle w:val="IvDbodytextChar"/>
          <w:rFonts w:cs="Times New Roman"/>
          <w:spacing w:val="0"/>
        </w:rPr>
        <w:t>f the legacy</w:t>
      </w:r>
      <w:r w:rsidR="00933532" w:rsidRPr="00806C85">
        <w:rPr>
          <w:rStyle w:val="IvDbodytextChar"/>
          <w:rFonts w:cs="Times New Roman"/>
          <w:spacing w:val="0"/>
        </w:rPr>
        <w:t xml:space="preserve"> </w:t>
      </w:r>
      <w:r w:rsidR="00A66557" w:rsidRPr="00806C85">
        <w:rPr>
          <w:rStyle w:val="IvDbodytextChar"/>
          <w:rFonts w:cs="Times New Roman"/>
          <w:spacing w:val="0"/>
        </w:rPr>
        <w:t>procedure</w:t>
      </w:r>
      <w:r>
        <w:rPr>
          <w:rStyle w:val="IvDbodytextChar"/>
          <w:rFonts w:cs="Times New Roman"/>
          <w:spacing w:val="0"/>
        </w:rPr>
        <w:t>s</w:t>
      </w:r>
      <w:r w:rsidR="00A66557" w:rsidRPr="00806C85">
        <w:rPr>
          <w:rStyle w:val="IvDbodytextChar"/>
          <w:rFonts w:cs="Times New Roman"/>
          <w:spacing w:val="0"/>
        </w:rPr>
        <w:t xml:space="preserve"> </w:t>
      </w:r>
      <w:r>
        <w:rPr>
          <w:rStyle w:val="IvDbodytextChar"/>
          <w:rFonts w:cs="Times New Roman"/>
          <w:spacing w:val="0"/>
        </w:rPr>
        <w:t>are</w:t>
      </w:r>
      <w:r w:rsidRPr="00806C85">
        <w:rPr>
          <w:rStyle w:val="IvDbodytextChar"/>
          <w:rFonts w:cs="Times New Roman"/>
          <w:spacing w:val="0"/>
        </w:rPr>
        <w:t xml:space="preserve"> </w:t>
      </w:r>
      <w:r w:rsidR="00A66557" w:rsidRPr="00806C85">
        <w:rPr>
          <w:rStyle w:val="IvDbodytextChar"/>
          <w:rFonts w:cs="Times New Roman"/>
          <w:spacing w:val="0"/>
        </w:rPr>
        <w:t>used</w:t>
      </w:r>
      <w:r>
        <w:rPr>
          <w:rStyle w:val="IvDbodytextChar"/>
          <w:rFonts w:cs="Times New Roman"/>
          <w:spacing w:val="0"/>
        </w:rPr>
        <w:t xml:space="preserve"> in IAB-node mobility scenarios,</w:t>
      </w:r>
      <w:r w:rsidR="00A66557" w:rsidRPr="00806C85">
        <w:rPr>
          <w:rStyle w:val="IvDbodytextChar"/>
          <w:rFonts w:cs="Times New Roman"/>
          <w:spacing w:val="0"/>
        </w:rPr>
        <w:t xml:space="preserve"> the BAP configuration at the mobile IAB needs to be dynamically reconfigured every time that the mobile IAB will traverse a new parent IAB node or donor node. Nevertheless, </w:t>
      </w:r>
      <w:r w:rsidR="00C33707" w:rsidRPr="00806C85">
        <w:rPr>
          <w:rStyle w:val="IvDbodytextChar"/>
          <w:rFonts w:cs="Times New Roman"/>
          <w:spacing w:val="0"/>
        </w:rPr>
        <w:t xml:space="preserve">since the features specified so far in the previous releases did not consider that an IAB node may be moving, the results </w:t>
      </w:r>
      <w:r w:rsidR="00E859C5" w:rsidRPr="00806C85">
        <w:rPr>
          <w:rStyle w:val="IvDbodytextChar"/>
          <w:rFonts w:cs="Times New Roman"/>
          <w:spacing w:val="0"/>
        </w:rPr>
        <w:t>are</w:t>
      </w:r>
      <w:r w:rsidR="00C33707" w:rsidRPr="00806C85">
        <w:rPr>
          <w:rStyle w:val="IvDbodytextChar"/>
          <w:rFonts w:cs="Times New Roman"/>
          <w:spacing w:val="0"/>
        </w:rPr>
        <w:t xml:space="preserve"> that </w:t>
      </w:r>
      <w:r w:rsidR="004473B9" w:rsidRPr="00806C85">
        <w:rPr>
          <w:rStyle w:val="IvDbodytextChar"/>
          <w:rFonts w:cs="Times New Roman"/>
          <w:spacing w:val="0"/>
        </w:rPr>
        <w:t>a continuous reconfiguration</w:t>
      </w:r>
      <w:r w:rsidR="00B66B82" w:rsidRPr="00806C85">
        <w:rPr>
          <w:rStyle w:val="IvDbodytextChar"/>
          <w:rFonts w:cs="Times New Roman"/>
          <w:spacing w:val="0"/>
        </w:rPr>
        <w:t xml:space="preserve"> (at least the F1 setup and BAP configuration)</w:t>
      </w:r>
      <w:r w:rsidR="004473B9" w:rsidRPr="00806C85">
        <w:rPr>
          <w:rStyle w:val="IvDbodytextChar"/>
          <w:rFonts w:cs="Times New Roman"/>
          <w:spacing w:val="0"/>
        </w:rPr>
        <w:t xml:space="preserve"> of the mobile IAB may not be efficient and may react slowly to the changes </w:t>
      </w:r>
      <w:r w:rsidR="00B66B82" w:rsidRPr="00806C85">
        <w:rPr>
          <w:rStyle w:val="IvDbodytextChar"/>
          <w:rFonts w:cs="Times New Roman"/>
          <w:spacing w:val="0"/>
        </w:rPr>
        <w:t>caused by the mobility.</w:t>
      </w:r>
    </w:p>
    <w:p w14:paraId="28FF94F4" w14:textId="4DEB1FFA" w:rsidR="00D162B4" w:rsidRDefault="003E22C9" w:rsidP="00FF3B47">
      <w:pPr>
        <w:pStyle w:val="Observation"/>
        <w:rPr>
          <w:rStyle w:val="IvDbodytextChar"/>
          <w:rFonts w:cs="Times New Roman"/>
          <w:spacing w:val="0"/>
        </w:rPr>
      </w:pPr>
      <w:bookmarkStart w:id="5" w:name="_Toc111017462"/>
      <w:bookmarkStart w:id="6" w:name="_Toc118410439"/>
      <w:r>
        <w:t>Legacy IAB procedures may incur high latency and overhead signalling when reconfiguring an IAB node due to its mobility.</w:t>
      </w:r>
      <w:bookmarkEnd w:id="5"/>
      <w:bookmarkEnd w:id="6"/>
    </w:p>
    <w:p w14:paraId="72925FEE" w14:textId="2FF81311" w:rsidR="003E22C9" w:rsidRPr="00806C85" w:rsidRDefault="003E22C9" w:rsidP="00806C85">
      <w:pPr>
        <w:pStyle w:val="BodyText"/>
        <w:rPr>
          <w:rStyle w:val="IvDbodytextChar"/>
          <w:rFonts w:cs="Times New Roman"/>
          <w:spacing w:val="0"/>
        </w:rPr>
      </w:pPr>
      <w:r>
        <w:rPr>
          <w:rStyle w:val="IvDbodytextChar"/>
          <w:rFonts w:cs="Times New Roman"/>
          <w:spacing w:val="0"/>
        </w:rPr>
        <w:t xml:space="preserve">Of course, even if the mobile IAB is moving, one aspect that can be exploited when considering F1 and RRC procedure is that its mobility may be predictable. One example is </w:t>
      </w:r>
      <w:r w:rsidR="00034B57">
        <w:rPr>
          <w:rStyle w:val="IvDbodytextChar"/>
          <w:rFonts w:cs="Times New Roman"/>
          <w:spacing w:val="0"/>
        </w:rPr>
        <w:t>to consider that a mobile IAB mode may be mounted on public transportation vehicle such as public busses or trains. In such a case, this type of vehicle has a predictable mobility that can be exploited when consideri</w:t>
      </w:r>
      <w:r w:rsidR="00A861DD">
        <w:rPr>
          <w:rStyle w:val="IvDbodytextChar"/>
          <w:rFonts w:cs="Times New Roman"/>
          <w:spacing w:val="0"/>
        </w:rPr>
        <w:t>ng that handovers may already been known in advance. In such a case, some F1 and RRC procedure such as the F1 setup and the BAP (re)configuration may be provided in advance (pre</w:t>
      </w:r>
      <w:r w:rsidR="00362622">
        <w:rPr>
          <w:rStyle w:val="IvDbodytextChar"/>
          <w:rFonts w:cs="Times New Roman"/>
          <w:spacing w:val="0"/>
        </w:rPr>
        <w:t>-</w:t>
      </w:r>
      <w:r w:rsidR="00A861DD">
        <w:rPr>
          <w:rStyle w:val="IvDbodytextChar"/>
          <w:rFonts w:cs="Times New Roman"/>
          <w:spacing w:val="0"/>
        </w:rPr>
        <w:t>configured) at the mobile IAB.</w:t>
      </w:r>
      <w:r w:rsidR="00DF690B">
        <w:rPr>
          <w:rStyle w:val="IvDbodytextChar"/>
          <w:rFonts w:cs="Times New Roman"/>
          <w:spacing w:val="0"/>
        </w:rPr>
        <w:t xml:space="preserve"> An example of what the procedure would like is shown in Figure 2</w:t>
      </w:r>
      <w:r w:rsidR="00806C85">
        <w:rPr>
          <w:rStyle w:val="IvDbodytextChar"/>
          <w:rFonts w:cs="Times New Roman"/>
          <w:spacing w:val="0"/>
        </w:rPr>
        <w:t>.</w:t>
      </w:r>
    </w:p>
    <w:p w14:paraId="70021E98" w14:textId="161BF3E0" w:rsidR="00D162B4" w:rsidRPr="005B4E2C" w:rsidRDefault="00EA1C1C" w:rsidP="00FF3B47">
      <w:pPr>
        <w:pStyle w:val="Observation"/>
        <w:rPr>
          <w:rStyle w:val="IvDbodytextChar"/>
          <w:iCs/>
        </w:rPr>
      </w:pPr>
      <w:bookmarkStart w:id="7" w:name="_Toc111017463"/>
      <w:bookmarkStart w:id="8" w:name="_Toc118410440"/>
      <w:r>
        <w:rPr>
          <w:rStyle w:val="IvDbodytextChar"/>
          <w:iCs/>
        </w:rPr>
        <w:t>Predictable mobility may be used to determine</w:t>
      </w:r>
      <w:r w:rsidR="00D162B4" w:rsidRPr="005B4E2C">
        <w:rPr>
          <w:rStyle w:val="IvDbodytextChar"/>
          <w:iCs/>
        </w:rPr>
        <w:t xml:space="preserve"> the route of the mobile IAB node </w:t>
      </w:r>
      <w:r>
        <w:rPr>
          <w:rStyle w:val="IvDbodytextChar"/>
          <w:iCs/>
        </w:rPr>
        <w:t>and to provide configurations in advance to the mobile IAB in order to execute F1 or RRC procedure</w:t>
      </w:r>
      <w:r w:rsidR="00992AD4">
        <w:rPr>
          <w:rStyle w:val="IvDbodytextChar"/>
          <w:iCs/>
        </w:rPr>
        <w:t>s (e.g.,</w:t>
      </w:r>
      <w:r w:rsidR="00D162B4" w:rsidRPr="005B4E2C">
        <w:rPr>
          <w:rStyle w:val="IvDbodytextChar"/>
          <w:iCs/>
        </w:rPr>
        <w:t xml:space="preserve"> </w:t>
      </w:r>
      <w:r w:rsidR="00992AD4">
        <w:rPr>
          <w:rStyle w:val="IvDbodytextChar"/>
          <w:iCs/>
        </w:rPr>
        <w:t>for providing handover commands in advance)</w:t>
      </w:r>
      <w:r w:rsidR="00D162B4" w:rsidRPr="005B4E2C">
        <w:rPr>
          <w:rStyle w:val="IvDbodytextChar"/>
          <w:iCs/>
        </w:rPr>
        <w:t>.</w:t>
      </w:r>
      <w:bookmarkEnd w:id="7"/>
      <w:bookmarkEnd w:id="8"/>
    </w:p>
    <w:p w14:paraId="77483AAA" w14:textId="77777777" w:rsidR="00D162B4" w:rsidRDefault="00D162B4" w:rsidP="002E4AAE"/>
    <w:p w14:paraId="1297C16C" w14:textId="656BDDFA" w:rsidR="00D162B4" w:rsidRDefault="00EE4D69" w:rsidP="00D162B4">
      <w:r>
        <w:rPr>
          <w:noProof/>
        </w:rPr>
      </w:r>
      <w:r w:rsidR="00EE4D69">
        <w:rPr>
          <w:noProof/>
        </w:rPr>
        <w:object w:dxaOrig="12540" w:dyaOrig="5611" w14:anchorId="68F01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215.45pt;mso-width-percent:0;mso-height-percent:0;mso-width-percent:0;mso-height-percent:0" o:ole="">
            <v:imagedata r:id="rId12" o:title=""/>
          </v:shape>
          <o:OLEObject Type="Embed" ProgID="Visio.Drawing.15" ShapeID="_x0000_i1025" DrawAspect="Content" ObjectID="_1729028090" r:id="rId13"/>
        </w:object>
      </w:r>
    </w:p>
    <w:p w14:paraId="62E40B66" w14:textId="620DDB6F" w:rsidR="00D162B4" w:rsidRPr="00992AD4" w:rsidRDefault="00D162B4" w:rsidP="00992AD4">
      <w:pPr>
        <w:pStyle w:val="BodyText"/>
        <w:jc w:val="center"/>
        <w:rPr>
          <w:b/>
        </w:rPr>
      </w:pPr>
      <w:r w:rsidRPr="00992AD4">
        <w:rPr>
          <w:b/>
        </w:rPr>
        <w:t>Figure</w:t>
      </w:r>
      <w:r w:rsidR="00DF690B" w:rsidRPr="00992AD4">
        <w:rPr>
          <w:b/>
        </w:rPr>
        <w:t xml:space="preserve"> 2</w:t>
      </w:r>
      <w:r w:rsidRPr="00992AD4">
        <w:rPr>
          <w:b/>
        </w:rPr>
        <w:t xml:space="preserve">: </w:t>
      </w:r>
      <w:r w:rsidR="00992AD4">
        <w:rPr>
          <w:b/>
          <w:bCs/>
        </w:rPr>
        <w:t>D</w:t>
      </w:r>
      <w:r w:rsidRPr="00992AD4" w:rsidDel="00793444">
        <w:rPr>
          <w:b/>
          <w:bCs/>
        </w:rPr>
        <w:t>onor</w:t>
      </w:r>
      <w:r w:rsidRPr="00992AD4">
        <w:rPr>
          <w:b/>
        </w:rPr>
        <w:t xml:space="preserve"> nodes provide the necessary F1 and BAP configurations to be stored in advance and activated when mIAB is handed over to new parent/new Donor. </w:t>
      </w:r>
    </w:p>
    <w:p w14:paraId="30C2D457" w14:textId="22F976E0" w:rsidR="00D162B4" w:rsidRPr="002E4AAE" w:rsidRDefault="00DF690B" w:rsidP="00763DA3">
      <w:pPr>
        <w:pStyle w:val="BodyText"/>
      </w:pPr>
      <w:r>
        <w:t xml:space="preserve">In conclusion, </w:t>
      </w:r>
      <w:r w:rsidR="00315654">
        <w:t xml:space="preserve">a solution where certain configuration </w:t>
      </w:r>
      <w:r w:rsidR="00362622">
        <w:t>at the UE is</w:t>
      </w:r>
      <w:r w:rsidR="00315654">
        <w:t xml:space="preserve"> predefined (or provided in advance) would be</w:t>
      </w:r>
      <w:r w:rsidR="00362622">
        <w:t xml:space="preserve"> a</w:t>
      </w:r>
      <w:r w:rsidR="00315654">
        <w:t xml:space="preserve"> great benefit from a latency/connectivity interruption and signalling overhead point of view. At least this is an option that work</w:t>
      </w:r>
      <w:r w:rsidR="00362622">
        <w:t>s</w:t>
      </w:r>
      <w:r w:rsidR="00315654">
        <w:t xml:space="preserve"> on top of existing procedure</w:t>
      </w:r>
      <w:r w:rsidR="00362622">
        <w:t>s</w:t>
      </w:r>
      <w:r w:rsidR="00315654">
        <w:t xml:space="preserve"> for the IAB nodes.</w:t>
      </w:r>
    </w:p>
    <w:p w14:paraId="5CB38702" w14:textId="6E1E291C" w:rsidR="00287838" w:rsidRDefault="009263A6" w:rsidP="00A04F49">
      <w:pPr>
        <w:pStyle w:val="Proposal"/>
      </w:pPr>
      <w:bookmarkStart w:id="9" w:name="_Ref190406817"/>
      <w:bookmarkStart w:id="10" w:name="_Toc226862296"/>
      <w:bookmarkStart w:id="11" w:name="_Toc347823621"/>
      <w:bookmarkStart w:id="12" w:name="_Toc347824073"/>
      <w:bookmarkStart w:id="13" w:name="_Toc347824246"/>
      <w:bookmarkStart w:id="14" w:name="_Toc111017465"/>
      <w:bookmarkStart w:id="15" w:name="_Toc118410444"/>
      <w:r>
        <w:t xml:space="preserve">In addition to legacy IAB procedures, </w:t>
      </w:r>
      <w:r w:rsidR="00315654">
        <w:t xml:space="preserve">RAN2 to </w:t>
      </w:r>
      <w:r w:rsidR="00795058">
        <w:t>also consider</w:t>
      </w:r>
      <w:r>
        <w:t xml:space="preserve"> a</w:t>
      </w:r>
      <w:r w:rsidR="00315654">
        <w:t xml:space="preserve"> solution where certain configurations (e.g., BAP configuration) are predefined at the mobile IAB </w:t>
      </w:r>
      <w:r w:rsidR="005A3507">
        <w:t>to</w:t>
      </w:r>
      <w:r w:rsidR="00315654">
        <w:t xml:space="preserve"> reduce the connectivity interruption and signalling overhead during mobility</w:t>
      </w:r>
      <w:bookmarkEnd w:id="9"/>
      <w:bookmarkEnd w:id="10"/>
      <w:bookmarkEnd w:id="11"/>
      <w:bookmarkEnd w:id="12"/>
      <w:bookmarkEnd w:id="13"/>
      <w:r w:rsidR="005B4E2C">
        <w:t>.</w:t>
      </w:r>
      <w:bookmarkEnd w:id="14"/>
      <w:bookmarkEnd w:id="15"/>
    </w:p>
    <w:p w14:paraId="0D31E163" w14:textId="77777777" w:rsidR="003B4B16" w:rsidRDefault="00260112" w:rsidP="003B4B16">
      <w:pPr>
        <w:pStyle w:val="Heading2"/>
      </w:pPr>
      <w:r>
        <w:t>2.3</w:t>
      </w:r>
      <w:r>
        <w:tab/>
      </w:r>
      <w:r w:rsidR="003B4B16">
        <w:t>Open issues on group mobility</w:t>
      </w:r>
    </w:p>
    <w:p w14:paraId="52F328DE" w14:textId="05C1F985" w:rsidR="003B4B16" w:rsidRDefault="003B4B16" w:rsidP="003B4B16">
      <w:pPr>
        <w:pStyle w:val="BodyText"/>
      </w:pPr>
      <w:r>
        <w:t xml:space="preserve">When the mobile IAB-MT </w:t>
      </w:r>
      <w:r w:rsidR="001F5BEA">
        <w:t xml:space="preserve">changes its donor-CU </w:t>
      </w:r>
      <w:r w:rsidR="007C0A8E">
        <w:t>(</w:t>
      </w:r>
      <w:r w:rsidR="001F5BEA">
        <w:t>changed.g., during a handover leaving the old CU service area</w:t>
      </w:r>
      <w:r w:rsidR="007C0A8E">
        <w:t>)</w:t>
      </w:r>
      <w:r w:rsidR="001F5BEA">
        <w:t>,</w:t>
      </w:r>
      <w:r w:rsidR="007C0A8E">
        <w:t xml:space="preserve"> this has also an impact on UE</w:t>
      </w:r>
      <w:r w:rsidR="001F5BEA">
        <w:t>s</w:t>
      </w:r>
      <w:r w:rsidR="007C0A8E">
        <w:t xml:space="preserve"> served by the mobile IAB.</w:t>
      </w:r>
      <w:r w:rsidR="00247466">
        <w:t xml:space="preserve"> This is mainly because some of the parameter of the cell that is hosted on the mobile IAB may change and because the new CU may decide to reconfigure even the DU part of the mobile IAB (in case of full migration).</w:t>
      </w:r>
    </w:p>
    <w:p w14:paraId="2B3361B4" w14:textId="7D8E11B2" w:rsidR="00247466" w:rsidRDefault="00247466" w:rsidP="003B4B16">
      <w:pPr>
        <w:pStyle w:val="BodyText"/>
      </w:pPr>
      <w:r>
        <w:t>However, one of the aspect</w:t>
      </w:r>
      <w:r w:rsidR="00FF3B47">
        <w:t>s</w:t>
      </w:r>
      <w:r>
        <w:t xml:space="preserve"> to be considered is that</w:t>
      </w:r>
      <w:r w:rsidR="00770C48">
        <w:t>, from the perspective of a UE served by the mobile IAB, even if the mobile IAB-MT perform</w:t>
      </w:r>
      <w:r w:rsidR="002D36D8">
        <w:t>s</w:t>
      </w:r>
      <w:r w:rsidR="00770C48">
        <w:t xml:space="preserve"> a handover, </w:t>
      </w:r>
      <w:r w:rsidR="00AB7938">
        <w:t>a UE that is served by the mobile IAB does not really change any cell as is still physically located within the coverage of the mobile IAB.</w:t>
      </w:r>
    </w:p>
    <w:p w14:paraId="70EDA4AD" w14:textId="4E49C436" w:rsidR="00FF3B47" w:rsidRDefault="00FF3B47" w:rsidP="00FF3B47">
      <w:pPr>
        <w:pStyle w:val="Observation"/>
      </w:pPr>
      <w:bookmarkStart w:id="16" w:name="_Toc118410441"/>
      <w:r w:rsidRPr="00FF3B47">
        <w:t>Even if the mobile IAB-MT perform</w:t>
      </w:r>
      <w:r>
        <w:t>s</w:t>
      </w:r>
      <w:r w:rsidRPr="00FF3B47">
        <w:t xml:space="preserve"> a handover, a UE that is served by the mobile IAB does not really change any cell as </w:t>
      </w:r>
      <w:r w:rsidR="002D36D8">
        <w:t xml:space="preserve">it </w:t>
      </w:r>
      <w:r w:rsidRPr="00FF3B47">
        <w:t>is still physically located within the coverage of the mobile IAB.</w:t>
      </w:r>
      <w:bookmarkEnd w:id="16"/>
    </w:p>
    <w:p w14:paraId="6817C766" w14:textId="47105B5B" w:rsidR="00FF3B47" w:rsidRDefault="00FF3B47" w:rsidP="00FF3B47">
      <w:pPr>
        <w:pStyle w:val="BodyText"/>
      </w:pPr>
      <w:r>
        <w:t xml:space="preserve">According to this, </w:t>
      </w:r>
      <w:r w:rsidR="001C66D5">
        <w:t>in principle some RRC procedure</w:t>
      </w:r>
      <w:r w:rsidR="002D36D8">
        <w:t>s</w:t>
      </w:r>
      <w:r w:rsidR="001C66D5">
        <w:t xml:space="preserve"> that normally happen during a handover procedure can be avoided. This will bring benefits in terms of less connectivity interruption but also less </w:t>
      </w:r>
      <w:r w:rsidR="002D35D1">
        <w:t>signalling</w:t>
      </w:r>
      <w:r w:rsidR="001C66D5">
        <w:t xml:space="preserve"> overhead for the UE and the network.</w:t>
      </w:r>
      <w:r w:rsidR="002D35D1">
        <w:t xml:space="preserve"> In fact, since the cell in which a UE is connected does not really change, most likely the TA</w:t>
      </w:r>
      <w:r w:rsidR="002D36D8">
        <w:t xml:space="preserve"> (timing advance)</w:t>
      </w:r>
      <w:r w:rsidR="002D35D1">
        <w:t xml:space="preserve"> value that the UE is using for the UL synchronization can still fully </w:t>
      </w:r>
      <w:r w:rsidR="002D36D8">
        <w:t xml:space="preserve">be </w:t>
      </w:r>
      <w:r w:rsidR="002D35D1">
        <w:t>reused and this means that the RACH procedure may not be needed</w:t>
      </w:r>
      <w:r w:rsidR="00CD6AE5">
        <w:t xml:space="preserve"> in case of a group mobility of the UEs served by the mobile IAB.</w:t>
      </w:r>
    </w:p>
    <w:p w14:paraId="7A326CDD" w14:textId="7103D542" w:rsidR="00CD6AE5" w:rsidRDefault="00CD6AE5" w:rsidP="00CD6AE5">
      <w:pPr>
        <w:pStyle w:val="Proposal"/>
      </w:pPr>
      <w:bookmarkStart w:id="17" w:name="_Toc118410445"/>
      <w:r>
        <w:t>In case of a group handover of the UE served by the mobile IAB,</w:t>
      </w:r>
      <w:r w:rsidR="000D2E6A">
        <w:t xml:space="preserve"> RAN2 to consider a solution where RACH-less handover is supported.</w:t>
      </w:r>
      <w:bookmarkEnd w:id="17"/>
    </w:p>
    <w:p w14:paraId="21E820DB" w14:textId="414F706C" w:rsidR="000D2E6A" w:rsidRDefault="000D2E6A" w:rsidP="000D2E6A">
      <w:pPr>
        <w:pStyle w:val="BodyText"/>
      </w:pPr>
      <w:r>
        <w:t>Another aspect to be considered is</w:t>
      </w:r>
      <w:r w:rsidR="0034185C">
        <w:t xml:space="preserve"> how to handle the group mobility from a signalling perspective and what kind of impact this has over the air interface. </w:t>
      </w:r>
      <w:r w:rsidR="00841A04">
        <w:t>When more than one UE served by the mobile IAB need</w:t>
      </w:r>
      <w:r w:rsidR="00C712E3">
        <w:t>s</w:t>
      </w:r>
      <w:r w:rsidR="00841A04">
        <w:t xml:space="preserve"> to be handed </w:t>
      </w:r>
      <w:r w:rsidR="00CE0232">
        <w:t>over</w:t>
      </w:r>
      <w:r w:rsidR="00841A04">
        <w:t xml:space="preserve"> to the same cell (that in this case is </w:t>
      </w:r>
      <w:r w:rsidR="00C712E3">
        <w:t xml:space="preserve">the </w:t>
      </w:r>
      <w:r w:rsidR="00841A04">
        <w:t>new cell of the mobile IAB itself)</w:t>
      </w:r>
      <w:r w:rsidR="000E0EC6">
        <w:t xml:space="preserve"> certainly some </w:t>
      </w:r>
      <w:r w:rsidR="00D07AEF">
        <w:t>enhancement</w:t>
      </w:r>
      <w:r w:rsidR="000E0EC6">
        <w:t xml:space="preserve"> on the signa</w:t>
      </w:r>
      <w:r w:rsidR="00C712E3">
        <w:t>l</w:t>
      </w:r>
      <w:r w:rsidR="000E0EC6">
        <w:t>ling can be done.</w:t>
      </w:r>
    </w:p>
    <w:p w14:paraId="284361C0" w14:textId="598D7D6F" w:rsidR="003B4B16" w:rsidRDefault="000E0EC6" w:rsidP="00D07AEF">
      <w:pPr>
        <w:pStyle w:val="BodyText"/>
      </w:pPr>
      <w:r>
        <w:t>One possible enhancement over the X2/Xn interface could be that the source node (</w:t>
      </w:r>
      <w:r w:rsidR="00176BE8">
        <w:t xml:space="preserve">i.e., </w:t>
      </w:r>
      <w:r>
        <w:t>the old donor CU) may</w:t>
      </w:r>
      <w:r w:rsidR="00176BE8">
        <w:t xml:space="preserve"> include a list of UE contexts for which the handover is needed in one message that is send to the target </w:t>
      </w:r>
      <w:r w:rsidR="00176BE8">
        <w:lastRenderedPageBreak/>
        <w:t>node (i.e., the new donor CU) rather than triggering one handover message one for each of those UEs.</w:t>
      </w:r>
      <w:r w:rsidR="005C6706">
        <w:t xml:space="preserve"> However, when it comes to the air interface, according to the legacy procedure</w:t>
      </w:r>
      <w:r w:rsidR="0023256A">
        <w:t>,</w:t>
      </w:r>
      <w:r w:rsidR="005C6706">
        <w:t xml:space="preserve"> the handover command is UE</w:t>
      </w:r>
      <w:r w:rsidR="009D1E23">
        <w:t>-</w:t>
      </w:r>
      <w:r w:rsidR="005C6706">
        <w:t>specific and is not clear</w:t>
      </w:r>
      <w:r w:rsidR="00C07074">
        <w:t xml:space="preserve"> how the source node may</w:t>
      </w:r>
      <w:r w:rsidR="00D07AEF">
        <w:t xml:space="preserve"> deliver multiple </w:t>
      </w:r>
      <w:r w:rsidR="00D07AEF" w:rsidRPr="00D07AEF">
        <w:rPr>
          <w:i/>
          <w:iCs/>
        </w:rPr>
        <w:t>RRCReconfiguration</w:t>
      </w:r>
      <w:r w:rsidR="00D07AEF">
        <w:t xml:space="preserve"> messages to multiple UE</w:t>
      </w:r>
      <w:r w:rsidR="003C55F5">
        <w:t>,</w:t>
      </w:r>
      <w:r w:rsidR="00D07AEF">
        <w:t xml:space="preserve"> if those are received within only one message over the X2/Xn</w:t>
      </w:r>
      <w:r w:rsidR="00CE0232">
        <w:t xml:space="preserve"> (or N2/NGAP)</w:t>
      </w:r>
      <w:r w:rsidR="00D07AEF">
        <w:t xml:space="preserve"> interface.</w:t>
      </w:r>
    </w:p>
    <w:p w14:paraId="42F9C70D" w14:textId="61C45D8F" w:rsidR="00D07AEF" w:rsidRDefault="00587226" w:rsidP="00D07AEF">
      <w:pPr>
        <w:pStyle w:val="BodyText"/>
      </w:pPr>
      <w:r>
        <w:t>Of course</w:t>
      </w:r>
      <w:r w:rsidR="003C55F5">
        <w:t>,</w:t>
      </w:r>
      <w:r>
        <w:t xml:space="preserve"> RAN2 may discuss solution</w:t>
      </w:r>
      <w:r w:rsidR="003C55F5">
        <w:t>s</w:t>
      </w:r>
      <w:r>
        <w:t xml:space="preserve"> in order to handle this problem, but before doing this it would be good to wait for RAN3 progress </w:t>
      </w:r>
      <w:r w:rsidR="003C55F5">
        <w:t xml:space="preserve">in </w:t>
      </w:r>
      <w:r>
        <w:t>this</w:t>
      </w:r>
      <w:r w:rsidR="003C55F5">
        <w:t xml:space="preserve"> matter</w:t>
      </w:r>
      <w:r>
        <w:t>.</w:t>
      </w:r>
    </w:p>
    <w:p w14:paraId="54A3AB34" w14:textId="45462FF5" w:rsidR="00587226" w:rsidRDefault="00587226" w:rsidP="00587226">
      <w:pPr>
        <w:pStyle w:val="Proposal"/>
      </w:pPr>
      <w:bookmarkStart w:id="18" w:name="_Toc118410446"/>
      <w:r>
        <w:t>RAN2 to wait for RAN3 progress before discussion enhancement related to the group mobility procedure.</w:t>
      </w:r>
      <w:bookmarkEnd w:id="18"/>
    </w:p>
    <w:p w14:paraId="19CF1C82" w14:textId="74E5E178" w:rsidR="00587226" w:rsidRDefault="002034B2" w:rsidP="00587226">
      <w:pPr>
        <w:pStyle w:val="BodyText"/>
      </w:pPr>
      <w:r>
        <w:t>Further aspects that RAN2 can start to discuss already now is how a group handover is triggered. So far</w:t>
      </w:r>
      <w:r w:rsidR="003C55F5">
        <w:t>,</w:t>
      </w:r>
      <w:r>
        <w:t xml:space="preserve"> a legacy handover is triggered </w:t>
      </w:r>
      <w:r w:rsidR="003C55F5">
        <w:t xml:space="preserve">by </w:t>
      </w:r>
      <w:r>
        <w:t xml:space="preserve">the a source node according to a measurement report received </w:t>
      </w:r>
      <w:r w:rsidR="003C55F5">
        <w:t xml:space="preserve">from </w:t>
      </w:r>
      <w:r>
        <w:t xml:space="preserve">the UE. Here we have a </w:t>
      </w:r>
      <w:r w:rsidR="003C55F5">
        <w:t xml:space="preserve">the </w:t>
      </w:r>
      <w:r>
        <w:t xml:space="preserve">special situation has the CU to which the mobile IAB is connected may receive multiple measurement reports </w:t>
      </w:r>
      <w:r w:rsidR="003C55F5">
        <w:t xml:space="preserve">from </w:t>
      </w:r>
      <w:r>
        <w:t>the UEs served by the mobile IAB within a time span that can be quite large. This is because each UE may be configured with different measurement reporting configuration.</w:t>
      </w:r>
      <w:r w:rsidR="000A3DC1">
        <w:t xml:space="preserve"> According to this, it </w:t>
      </w:r>
      <w:r w:rsidR="003C55F5">
        <w:t xml:space="preserve">is </w:t>
      </w:r>
      <w:r w:rsidR="000A3DC1">
        <w:t>not clear how the group handover is triggered.</w:t>
      </w:r>
    </w:p>
    <w:p w14:paraId="4410EB6C" w14:textId="28E831E7" w:rsidR="000A3DC1" w:rsidRDefault="000A3DC1" w:rsidP="000A3DC1">
      <w:pPr>
        <w:pStyle w:val="Proposal"/>
      </w:pPr>
      <w:bookmarkStart w:id="19" w:name="_Toc118410447"/>
      <w:r>
        <w:t xml:space="preserve">RAN2 to discuss what is the triggering condition for the group </w:t>
      </w:r>
      <w:r w:rsidR="00595268">
        <w:t>mobility</w:t>
      </w:r>
      <w:r>
        <w:t xml:space="preserve"> of the UEs served by the mobile IAB.</w:t>
      </w:r>
      <w:bookmarkEnd w:id="19"/>
    </w:p>
    <w:p w14:paraId="06540012" w14:textId="3A07029F" w:rsidR="00595268" w:rsidRDefault="00595268" w:rsidP="00595268">
      <w:pPr>
        <w:pStyle w:val="BodyText"/>
      </w:pPr>
      <w:r>
        <w:t xml:space="preserve">Another aspect that is not clear is how to handle </w:t>
      </w:r>
      <w:r w:rsidR="00AB07A7">
        <w:t xml:space="preserve">during the group mobility the </w:t>
      </w:r>
      <w:r>
        <w:t xml:space="preserve">UEs that are in RRC_IDLE and RRC_INACTIVE </w:t>
      </w:r>
      <w:r w:rsidR="00AB07A7">
        <w:t xml:space="preserve">and </w:t>
      </w:r>
      <w:r>
        <w:t>that are inside the vehicle in</w:t>
      </w:r>
      <w:r w:rsidR="00AB07A7">
        <w:t xml:space="preserve"> which the mobile IAB is mounted. While for the UEs that are in RRC_IDLE one may say that there is no impact (as they will perform cell (re</w:t>
      </w:r>
      <w:r w:rsidR="003C55F5">
        <w:t>-</w:t>
      </w:r>
      <w:r w:rsidR="00AB07A7">
        <w:t xml:space="preserve">)selection at some point), a special handling of UEs in RRC_INACTIVE may be needed. </w:t>
      </w:r>
      <w:r w:rsidR="00365180">
        <w:t>For th</w:t>
      </w:r>
      <w:r w:rsidR="003C55F5">
        <w:t>ese</w:t>
      </w:r>
      <w:r w:rsidR="00365180">
        <w:t xml:space="preserve"> UE</w:t>
      </w:r>
      <w:r w:rsidR="00D8101C">
        <w:t>s</w:t>
      </w:r>
      <w:r w:rsidR="00365180">
        <w:t>, their context needs to be relocated from the old donor CU to the new donor CU and when the group mobility is performed</w:t>
      </w:r>
      <w:r w:rsidR="003C55F5">
        <w:t>,</w:t>
      </w:r>
      <w:r w:rsidR="00D8101C">
        <w:t xml:space="preserve"> one solution would be to do this relocation on the network side. If this is the case, one </w:t>
      </w:r>
      <w:r w:rsidR="003C55F5">
        <w:t>can</w:t>
      </w:r>
      <w:r w:rsidR="00D8101C">
        <w:t xml:space="preserve"> say that as far as </w:t>
      </w:r>
      <w:r w:rsidR="0094706A">
        <w:t>a</w:t>
      </w:r>
      <w:r w:rsidR="00D8101C">
        <w:t xml:space="preserve"> UE i</w:t>
      </w:r>
      <w:r w:rsidR="0094706A">
        <w:t>n RRC_INACTIVE is located inside the vehicle in which the mobile IAB is mounted</w:t>
      </w:r>
      <w:r w:rsidR="003C55F5">
        <w:t>,</w:t>
      </w:r>
      <w:r w:rsidR="0094706A">
        <w:t xml:space="preserve"> there would be no need to do any RNA update procedure since the UE context has been already relocated on the network side and the network is perfectly aware of where these UEs in RRC_INACTIVE are. </w:t>
      </w:r>
    </w:p>
    <w:p w14:paraId="68D751A3" w14:textId="7E99E0AD" w:rsidR="0094706A" w:rsidRDefault="0094706A" w:rsidP="0094706A">
      <w:pPr>
        <w:pStyle w:val="Proposal"/>
      </w:pPr>
      <w:bookmarkStart w:id="20" w:name="_Toc118410448"/>
      <w:r>
        <w:t>RAN2 to discuss how to handle UEs in RRC_IDLE and RRC_INACTIVE during the group mobility of the UEs (in RRC_CONNECTED) served by the mobile IAB.</w:t>
      </w:r>
      <w:bookmarkEnd w:id="20"/>
    </w:p>
    <w:p w14:paraId="0CE149B1" w14:textId="77777777" w:rsidR="0094706A" w:rsidRPr="00587226" w:rsidRDefault="0094706A" w:rsidP="00595268">
      <w:pPr>
        <w:pStyle w:val="BodyText"/>
      </w:pPr>
    </w:p>
    <w:p w14:paraId="20D74898" w14:textId="6826DF48" w:rsidR="00C01F33" w:rsidRPr="00CE0424" w:rsidRDefault="003569C3" w:rsidP="00CE0424">
      <w:pPr>
        <w:pStyle w:val="Heading1"/>
      </w:pPr>
      <w:r>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0A6BFB8" w14:textId="77777777" w:rsidR="00EE4D69"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18410438" w:history="1">
        <w:r w:rsidR="00EE4D69" w:rsidRPr="00EF4BE0">
          <w:rPr>
            <w:rStyle w:val="Hyperlink"/>
            <w:noProof/>
          </w:rPr>
          <w:t>Observation 1</w:t>
        </w:r>
        <w:r w:rsidR="00EE4D69">
          <w:rPr>
            <w:rFonts w:asciiTheme="minorHAnsi" w:eastAsiaTheme="minorEastAsia" w:hAnsiTheme="minorHAnsi" w:cstheme="minorBidi"/>
            <w:b w:val="0"/>
            <w:noProof/>
            <w:sz w:val="24"/>
            <w:szCs w:val="24"/>
            <w:lang w:val="en-FI" w:eastAsia="en-GB"/>
          </w:rPr>
          <w:tab/>
        </w:r>
        <w:r w:rsidR="00EE4D69" w:rsidRPr="00EF4BE0">
          <w:rPr>
            <w:rStyle w:val="Hyperlink"/>
            <w:noProof/>
          </w:rPr>
          <w:t>Early identification of a mobile IAB cell may help a UE to avoid the triggering of unnecessary RRC procedures.</w:t>
        </w:r>
      </w:hyperlink>
    </w:p>
    <w:p w14:paraId="2815E69D" w14:textId="77777777" w:rsidR="00EE4D69" w:rsidRDefault="00EE4D6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439" w:history="1">
        <w:r w:rsidRPr="00EF4BE0">
          <w:rPr>
            <w:rStyle w:val="Hyperlink"/>
            <w:noProof/>
          </w:rPr>
          <w:t>Observation 2</w:t>
        </w:r>
        <w:r>
          <w:rPr>
            <w:rFonts w:asciiTheme="minorHAnsi" w:eastAsiaTheme="minorEastAsia" w:hAnsiTheme="minorHAnsi" w:cstheme="minorBidi"/>
            <w:b w:val="0"/>
            <w:noProof/>
            <w:sz w:val="24"/>
            <w:szCs w:val="24"/>
            <w:lang w:val="en-FI" w:eastAsia="en-GB"/>
          </w:rPr>
          <w:tab/>
        </w:r>
        <w:r w:rsidRPr="00EF4BE0">
          <w:rPr>
            <w:rStyle w:val="Hyperlink"/>
            <w:noProof/>
          </w:rPr>
          <w:t>Legacy IAB procedures may incur high latency and overhead signalling when reconfiguring an IAB node due to its mobility.</w:t>
        </w:r>
      </w:hyperlink>
    </w:p>
    <w:p w14:paraId="6B3CD6AC" w14:textId="77777777" w:rsidR="00EE4D69" w:rsidRDefault="00EE4D6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440" w:history="1">
        <w:r w:rsidRPr="00EF4BE0">
          <w:rPr>
            <w:rStyle w:val="Hyperlink"/>
            <w:rFonts w:cs="Arial"/>
            <w:iCs/>
            <w:noProof/>
            <w:spacing w:val="2"/>
          </w:rPr>
          <w:t>Observation 3</w:t>
        </w:r>
        <w:r>
          <w:rPr>
            <w:rFonts w:asciiTheme="minorHAnsi" w:eastAsiaTheme="minorEastAsia" w:hAnsiTheme="minorHAnsi" w:cstheme="minorBidi"/>
            <w:b w:val="0"/>
            <w:noProof/>
            <w:sz w:val="24"/>
            <w:szCs w:val="24"/>
            <w:lang w:val="en-FI" w:eastAsia="en-GB"/>
          </w:rPr>
          <w:tab/>
        </w:r>
        <w:r w:rsidRPr="00EF4BE0">
          <w:rPr>
            <w:rStyle w:val="Hyperlink"/>
            <w:rFonts w:cs="Arial"/>
            <w:iCs/>
            <w:noProof/>
            <w:spacing w:val="2"/>
          </w:rPr>
          <w:t>Predictable mobility may be used to determine the route of the mobile IAB node and to provide configurations in advance to the mobile IAB in order to execute F1 or RRC procedures (e.g., for providing handover commands in advance).</w:t>
        </w:r>
      </w:hyperlink>
    </w:p>
    <w:p w14:paraId="180462D2" w14:textId="77777777" w:rsidR="00EE4D69" w:rsidRDefault="00EE4D6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441" w:history="1">
        <w:r w:rsidRPr="00EF4BE0">
          <w:rPr>
            <w:rStyle w:val="Hyperlink"/>
            <w:noProof/>
          </w:rPr>
          <w:t>Observation 4</w:t>
        </w:r>
        <w:r>
          <w:rPr>
            <w:rFonts w:asciiTheme="minorHAnsi" w:eastAsiaTheme="minorEastAsia" w:hAnsiTheme="minorHAnsi" w:cstheme="minorBidi"/>
            <w:b w:val="0"/>
            <w:noProof/>
            <w:sz w:val="24"/>
            <w:szCs w:val="24"/>
            <w:lang w:val="en-FI" w:eastAsia="en-GB"/>
          </w:rPr>
          <w:tab/>
        </w:r>
        <w:r w:rsidRPr="00EF4BE0">
          <w:rPr>
            <w:rStyle w:val="Hyperlink"/>
            <w:noProof/>
          </w:rPr>
          <w:t>Even if the mobile IAB-MT performs a handover, a UE that is served by the mobile IAB does not really change any cell as it is still physically located within the coverage of the mobile IAB.</w:t>
        </w:r>
      </w:hyperlink>
    </w:p>
    <w:p w14:paraId="029CA090" w14:textId="7B4FE023"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8346B47" w14:textId="77777777" w:rsidR="00EE4D69"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10442" w:history="1">
        <w:r w:rsidR="00EE4D69" w:rsidRPr="00D47957">
          <w:rPr>
            <w:rStyle w:val="Hyperlink"/>
            <w:noProof/>
          </w:rPr>
          <w:t>Proposal 1</w:t>
        </w:r>
        <w:r w:rsidR="00EE4D69">
          <w:rPr>
            <w:rFonts w:asciiTheme="minorHAnsi" w:eastAsiaTheme="minorEastAsia" w:hAnsiTheme="minorHAnsi" w:cstheme="minorBidi"/>
            <w:b w:val="0"/>
            <w:noProof/>
            <w:sz w:val="24"/>
            <w:szCs w:val="24"/>
            <w:lang w:val="en-FI" w:eastAsia="en-GB"/>
          </w:rPr>
          <w:tab/>
        </w:r>
        <w:r w:rsidR="00EE4D69" w:rsidRPr="00D47957">
          <w:rPr>
            <w:rStyle w:val="Hyperlink"/>
            <w:noProof/>
          </w:rPr>
          <w:t>How a UE understands that is an onboard UE is up to the UE implementation.</w:t>
        </w:r>
      </w:hyperlink>
    </w:p>
    <w:p w14:paraId="0E04846C" w14:textId="77777777" w:rsidR="00EE4D69" w:rsidRDefault="00EE4D6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443" w:history="1">
        <w:r w:rsidRPr="00D47957">
          <w:rPr>
            <w:rStyle w:val="Hyperlink"/>
            <w:noProof/>
          </w:rPr>
          <w:t>Proposal 2</w:t>
        </w:r>
        <w:r>
          <w:rPr>
            <w:rFonts w:asciiTheme="minorHAnsi" w:eastAsiaTheme="minorEastAsia" w:hAnsiTheme="minorHAnsi" w:cstheme="minorBidi"/>
            <w:b w:val="0"/>
            <w:noProof/>
            <w:sz w:val="24"/>
            <w:szCs w:val="24"/>
            <w:lang w:val="en-FI" w:eastAsia="en-GB"/>
          </w:rPr>
          <w:tab/>
        </w:r>
        <w:r w:rsidRPr="00D47957">
          <w:rPr>
            <w:rStyle w:val="Hyperlink"/>
            <w:noProof/>
          </w:rPr>
          <w:t>How the UE uses the mobile-IAB cell type indication that is broadcasted is up to the UE implementation.</w:t>
        </w:r>
      </w:hyperlink>
    </w:p>
    <w:p w14:paraId="5E58E000" w14:textId="77777777" w:rsidR="00EE4D69" w:rsidRDefault="00EE4D6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444" w:history="1">
        <w:r w:rsidRPr="00D47957">
          <w:rPr>
            <w:rStyle w:val="Hyperlink"/>
            <w:noProof/>
          </w:rPr>
          <w:t>Proposal 3</w:t>
        </w:r>
        <w:r>
          <w:rPr>
            <w:rFonts w:asciiTheme="minorHAnsi" w:eastAsiaTheme="minorEastAsia" w:hAnsiTheme="minorHAnsi" w:cstheme="minorBidi"/>
            <w:b w:val="0"/>
            <w:noProof/>
            <w:sz w:val="24"/>
            <w:szCs w:val="24"/>
            <w:lang w:val="en-FI" w:eastAsia="en-GB"/>
          </w:rPr>
          <w:tab/>
        </w:r>
        <w:r w:rsidRPr="00D47957">
          <w:rPr>
            <w:rStyle w:val="Hyperlink"/>
            <w:noProof/>
          </w:rPr>
          <w:t>In addition to legacy IAB procedures, RAN2 to also consider a solution where certain configurations (e.g., BAP configuration) are predefined at the mobile IAB to reduce the connectivity interruption and signalling overhead during mobility.</w:t>
        </w:r>
      </w:hyperlink>
    </w:p>
    <w:p w14:paraId="129645C1" w14:textId="77777777" w:rsidR="00EE4D69" w:rsidRDefault="00EE4D6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445" w:history="1">
        <w:r w:rsidRPr="00D47957">
          <w:rPr>
            <w:rStyle w:val="Hyperlink"/>
            <w:noProof/>
          </w:rPr>
          <w:t>Proposal 4</w:t>
        </w:r>
        <w:r>
          <w:rPr>
            <w:rFonts w:asciiTheme="minorHAnsi" w:eastAsiaTheme="minorEastAsia" w:hAnsiTheme="minorHAnsi" w:cstheme="minorBidi"/>
            <w:b w:val="0"/>
            <w:noProof/>
            <w:sz w:val="24"/>
            <w:szCs w:val="24"/>
            <w:lang w:val="en-FI" w:eastAsia="en-GB"/>
          </w:rPr>
          <w:tab/>
        </w:r>
        <w:r w:rsidRPr="00D47957">
          <w:rPr>
            <w:rStyle w:val="Hyperlink"/>
            <w:noProof/>
          </w:rPr>
          <w:t>In case of a group handover of the UE served by the mobile IAB, RAN2 to consider a solution where RACH-less handover is supported.</w:t>
        </w:r>
      </w:hyperlink>
    </w:p>
    <w:p w14:paraId="29FECA37" w14:textId="77777777" w:rsidR="00EE4D69" w:rsidRDefault="00EE4D6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446" w:history="1">
        <w:r w:rsidRPr="00D47957">
          <w:rPr>
            <w:rStyle w:val="Hyperlink"/>
            <w:noProof/>
          </w:rPr>
          <w:t>Proposal 5</w:t>
        </w:r>
        <w:r>
          <w:rPr>
            <w:rFonts w:asciiTheme="minorHAnsi" w:eastAsiaTheme="minorEastAsia" w:hAnsiTheme="minorHAnsi" w:cstheme="minorBidi"/>
            <w:b w:val="0"/>
            <w:noProof/>
            <w:sz w:val="24"/>
            <w:szCs w:val="24"/>
            <w:lang w:val="en-FI" w:eastAsia="en-GB"/>
          </w:rPr>
          <w:tab/>
        </w:r>
        <w:r w:rsidRPr="00D47957">
          <w:rPr>
            <w:rStyle w:val="Hyperlink"/>
            <w:noProof/>
          </w:rPr>
          <w:t>RAN2 to wait for RAN3 progress before discussion enhancement related to the group mobility procedure.</w:t>
        </w:r>
      </w:hyperlink>
    </w:p>
    <w:p w14:paraId="2EA0764D" w14:textId="77777777" w:rsidR="00EE4D69" w:rsidRDefault="00EE4D6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447" w:history="1">
        <w:r w:rsidRPr="00D47957">
          <w:rPr>
            <w:rStyle w:val="Hyperlink"/>
            <w:noProof/>
          </w:rPr>
          <w:t>Proposal 6</w:t>
        </w:r>
        <w:r>
          <w:rPr>
            <w:rFonts w:asciiTheme="minorHAnsi" w:eastAsiaTheme="minorEastAsia" w:hAnsiTheme="minorHAnsi" w:cstheme="minorBidi"/>
            <w:b w:val="0"/>
            <w:noProof/>
            <w:sz w:val="24"/>
            <w:szCs w:val="24"/>
            <w:lang w:val="en-FI" w:eastAsia="en-GB"/>
          </w:rPr>
          <w:tab/>
        </w:r>
        <w:r w:rsidRPr="00D47957">
          <w:rPr>
            <w:rStyle w:val="Hyperlink"/>
            <w:noProof/>
          </w:rPr>
          <w:t>RAN2 to discuss what is the triggering condition for the group mobility of the UEs served by the mobile IAB.</w:t>
        </w:r>
      </w:hyperlink>
    </w:p>
    <w:p w14:paraId="5CE7250A" w14:textId="77777777" w:rsidR="00EE4D69" w:rsidRDefault="00EE4D6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448" w:history="1">
        <w:r w:rsidRPr="00D47957">
          <w:rPr>
            <w:rStyle w:val="Hyperlink"/>
            <w:noProof/>
          </w:rPr>
          <w:t>Proposal 7</w:t>
        </w:r>
        <w:r>
          <w:rPr>
            <w:rFonts w:asciiTheme="minorHAnsi" w:eastAsiaTheme="minorEastAsia" w:hAnsiTheme="minorHAnsi" w:cstheme="minorBidi"/>
            <w:b w:val="0"/>
            <w:noProof/>
            <w:sz w:val="24"/>
            <w:szCs w:val="24"/>
            <w:lang w:val="en-FI" w:eastAsia="en-GB"/>
          </w:rPr>
          <w:tab/>
        </w:r>
        <w:r w:rsidRPr="00D47957">
          <w:rPr>
            <w:rStyle w:val="Hyperlink"/>
            <w:noProof/>
          </w:rPr>
          <w:t>RAN2 to discuss how to handle UEs in RRC_IDLE and RRC_INACTIVE during the group mobility of the UEs (in RRC_CONNECTED) served by the mobile IAB.</w:t>
        </w:r>
      </w:hyperlink>
    </w:p>
    <w:p w14:paraId="64F3E645" w14:textId="2A84CBE6" w:rsidR="00C01F33" w:rsidRPr="003569C3" w:rsidRDefault="006E1C82" w:rsidP="003569C3">
      <w:pPr>
        <w:pStyle w:val="BodyText"/>
        <w:rPr>
          <w:b/>
        </w:rPr>
      </w:pPr>
      <w:r>
        <w:rPr>
          <w:b/>
          <w:bCs/>
          <w:lang w:val="en-US"/>
        </w:rPr>
        <w:fldChar w:fldCharType="end"/>
      </w:r>
    </w:p>
    <w:p w14:paraId="7BD5CFC3" w14:textId="54F17372" w:rsidR="00F507D1" w:rsidRPr="00CE0424" w:rsidRDefault="003569C3" w:rsidP="00CE0424">
      <w:pPr>
        <w:pStyle w:val="Heading1"/>
      </w:pPr>
      <w:bookmarkStart w:id="21" w:name="_In-sequence_SDU_delivery"/>
      <w:bookmarkEnd w:id="21"/>
      <w:r>
        <w:t>4</w:t>
      </w:r>
      <w:r>
        <w:tab/>
      </w:r>
      <w:r w:rsidR="00F507D1" w:rsidRPr="00CE0424">
        <w:t>References</w:t>
      </w:r>
    </w:p>
    <w:bookmarkStart w:id="22" w:name="_Ref174151459"/>
    <w:bookmarkStart w:id="23" w:name="_Ref189809556"/>
    <w:p w14:paraId="242560CB" w14:textId="0C17D569" w:rsidR="00B96A6F" w:rsidRDefault="003569C3" w:rsidP="00B96A6F">
      <w:pPr>
        <w:pStyle w:val="Reference"/>
      </w:pPr>
      <w:r>
        <w:fldChar w:fldCharType="begin"/>
      </w:r>
      <w:r>
        <w:instrText xml:space="preserve"> HYPERLINK "http://www.3gpp.org/ftp//tsg_ran/TSG_RAN/TSGR_96/Docs/</w:instrText>
      </w:r>
      <w:r>
        <w:cr/>
        <w:instrText xml:space="preserve">RP-221815.zip" </w:instrText>
      </w:r>
      <w:r>
        <w:fldChar w:fldCharType="separate"/>
      </w:r>
      <w:r w:rsidR="00B96A6F" w:rsidRPr="003569C3">
        <w:rPr>
          <w:rStyle w:val="Hyperlink"/>
        </w:rPr>
        <w:t>RP-221815</w:t>
      </w:r>
      <w:r>
        <w:fldChar w:fldCharType="end"/>
      </w:r>
      <w:r w:rsidR="00B96A6F">
        <w:t>, WID on Mobile IAB for NR, 3GPP TSG RAN#96, Budapest, Hungary, June 2022</w:t>
      </w:r>
    </w:p>
    <w:p w14:paraId="4193CA81" w14:textId="14D4E9A1" w:rsidR="005F3025" w:rsidRPr="00CE0424" w:rsidRDefault="005F3025" w:rsidP="00B96A6F">
      <w:pPr>
        <w:pStyle w:val="Reference"/>
        <w:numPr>
          <w:ilvl w:val="0"/>
          <w:numId w:val="0"/>
        </w:numPr>
        <w:ind w:left="567"/>
      </w:pPr>
    </w:p>
    <w:bookmarkEnd w:id="22"/>
    <w:bookmarkEnd w:id="23"/>
    <w:p w14:paraId="5DCC939F"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71B3E" w14:textId="77777777" w:rsidR="00022E94" w:rsidRDefault="00022E94">
      <w:r>
        <w:separator/>
      </w:r>
    </w:p>
  </w:endnote>
  <w:endnote w:type="continuationSeparator" w:id="0">
    <w:p w14:paraId="25F82888" w14:textId="77777777" w:rsidR="00022E94" w:rsidRDefault="00022E94">
      <w:r>
        <w:continuationSeparator/>
      </w:r>
    </w:p>
  </w:endnote>
  <w:endnote w:type="continuationNotice" w:id="1">
    <w:p w14:paraId="40280922" w14:textId="77777777" w:rsidR="00022E94" w:rsidRDefault="00022E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8AEED" w14:textId="77777777" w:rsidR="00022E94" w:rsidRDefault="00022E94">
      <w:r>
        <w:separator/>
      </w:r>
    </w:p>
  </w:footnote>
  <w:footnote w:type="continuationSeparator" w:id="0">
    <w:p w14:paraId="3AB2391D" w14:textId="77777777" w:rsidR="00022E94" w:rsidRDefault="00022E94">
      <w:r>
        <w:continuationSeparator/>
      </w:r>
    </w:p>
  </w:footnote>
  <w:footnote w:type="continuationNotice" w:id="1">
    <w:p w14:paraId="30458E7A" w14:textId="77777777" w:rsidR="00022E94" w:rsidRDefault="00022E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387E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1C7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E47AFB"/>
    <w:multiLevelType w:val="hybridMultilevel"/>
    <w:tmpl w:val="88BC3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5B6393"/>
    <w:multiLevelType w:val="hybridMultilevel"/>
    <w:tmpl w:val="91807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E5D69BD"/>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AE1AAD"/>
    <w:multiLevelType w:val="hybridMultilevel"/>
    <w:tmpl w:val="94DC6076"/>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509244B8"/>
    <w:lvl w:ilvl="0" w:tplc="D06C715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A85D06"/>
    <w:multiLevelType w:val="hybridMultilevel"/>
    <w:tmpl w:val="D4D0A74A"/>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8F2325"/>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2F33D55"/>
    <w:multiLevelType w:val="hybridMultilevel"/>
    <w:tmpl w:val="8BEA2970"/>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6C246379"/>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0244FE"/>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829399160">
    <w:abstractNumId w:val="4"/>
  </w:num>
  <w:num w:numId="2" w16cid:durableId="2036344015">
    <w:abstractNumId w:val="21"/>
  </w:num>
  <w:num w:numId="3" w16cid:durableId="1794013560">
    <w:abstractNumId w:val="16"/>
  </w:num>
  <w:num w:numId="4" w16cid:durableId="1627926238">
    <w:abstractNumId w:val="17"/>
  </w:num>
  <w:num w:numId="5" w16cid:durableId="1975217026">
    <w:abstractNumId w:val="13"/>
  </w:num>
  <w:num w:numId="6" w16cid:durableId="382103448">
    <w:abstractNumId w:val="19"/>
  </w:num>
  <w:num w:numId="7" w16cid:durableId="1426609368">
    <w:abstractNumId w:val="25"/>
  </w:num>
  <w:num w:numId="8" w16cid:durableId="1760564910">
    <w:abstractNumId w:val="14"/>
  </w:num>
  <w:num w:numId="9" w16cid:durableId="788008244">
    <w:abstractNumId w:val="10"/>
  </w:num>
  <w:num w:numId="10" w16cid:durableId="1811940105">
    <w:abstractNumId w:val="2"/>
  </w:num>
  <w:num w:numId="11" w16cid:durableId="1609310653">
    <w:abstractNumId w:val="1"/>
  </w:num>
  <w:num w:numId="12" w16cid:durableId="428308332">
    <w:abstractNumId w:val="0"/>
  </w:num>
  <w:num w:numId="13" w16cid:durableId="1070075486">
    <w:abstractNumId w:val="22"/>
  </w:num>
  <w:num w:numId="14" w16cid:durableId="1941832911">
    <w:abstractNumId w:val="23"/>
  </w:num>
  <w:num w:numId="15" w16cid:durableId="86000768">
    <w:abstractNumId w:val="18"/>
  </w:num>
  <w:num w:numId="16" w16cid:durableId="237447196">
    <w:abstractNumId w:val="27"/>
  </w:num>
  <w:num w:numId="17" w16cid:durableId="25568216">
    <w:abstractNumId w:val="7"/>
  </w:num>
  <w:num w:numId="18" w16cid:durableId="1343701733">
    <w:abstractNumId w:val="9"/>
  </w:num>
  <w:num w:numId="19" w16cid:durableId="1500071779">
    <w:abstractNumId w:val="5"/>
  </w:num>
  <w:num w:numId="20" w16cid:durableId="987856435">
    <w:abstractNumId w:val="34"/>
  </w:num>
  <w:num w:numId="21" w16cid:durableId="1937130557">
    <w:abstractNumId w:val="15"/>
  </w:num>
  <w:num w:numId="22" w16cid:durableId="1068920194">
    <w:abstractNumId w:val="32"/>
  </w:num>
  <w:num w:numId="23" w16cid:durableId="389235655">
    <w:abstractNumId w:val="11"/>
  </w:num>
  <w:num w:numId="24" w16cid:durableId="1089306301">
    <w:abstractNumId w:val="6"/>
  </w:num>
  <w:num w:numId="25" w16cid:durableId="772867361">
    <w:abstractNumId w:val="8"/>
  </w:num>
  <w:num w:numId="26" w16cid:durableId="533424805">
    <w:abstractNumId w:val="31"/>
  </w:num>
  <w:num w:numId="27" w16cid:durableId="1280995436">
    <w:abstractNumId w:val="35"/>
  </w:num>
  <w:num w:numId="28" w16cid:durableId="779834585">
    <w:abstractNumId w:val="26"/>
  </w:num>
  <w:num w:numId="29" w16cid:durableId="2145080927">
    <w:abstractNumId w:val="12"/>
  </w:num>
  <w:num w:numId="30" w16cid:durableId="13781679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0948244">
    <w:abstractNumId w:val="3"/>
  </w:num>
  <w:num w:numId="32" w16cid:durableId="1995377747">
    <w:abstractNumId w:val="29"/>
  </w:num>
  <w:num w:numId="33" w16cid:durableId="673611264">
    <w:abstractNumId w:val="29"/>
  </w:num>
  <w:num w:numId="34" w16cid:durableId="1919710352">
    <w:abstractNumId w:val="20"/>
  </w:num>
  <w:num w:numId="35" w16cid:durableId="1674916298">
    <w:abstractNumId w:val="28"/>
  </w:num>
  <w:num w:numId="36" w16cid:durableId="1752392562">
    <w:abstractNumId w:val="24"/>
  </w:num>
  <w:num w:numId="37" w16cid:durableId="1073284136">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51A"/>
    <w:rsid w:val="00002A37"/>
    <w:rsid w:val="0000564C"/>
    <w:rsid w:val="00006446"/>
    <w:rsid w:val="00006896"/>
    <w:rsid w:val="00007CDC"/>
    <w:rsid w:val="00011B28"/>
    <w:rsid w:val="00015D15"/>
    <w:rsid w:val="000207AB"/>
    <w:rsid w:val="00022E94"/>
    <w:rsid w:val="0002564D"/>
    <w:rsid w:val="00025ECA"/>
    <w:rsid w:val="000325B8"/>
    <w:rsid w:val="00034B57"/>
    <w:rsid w:val="00034C15"/>
    <w:rsid w:val="00036BA1"/>
    <w:rsid w:val="000422E2"/>
    <w:rsid w:val="00042F22"/>
    <w:rsid w:val="000444EF"/>
    <w:rsid w:val="00052A07"/>
    <w:rsid w:val="000534E3"/>
    <w:rsid w:val="0005606A"/>
    <w:rsid w:val="00057117"/>
    <w:rsid w:val="000616E7"/>
    <w:rsid w:val="0006487E"/>
    <w:rsid w:val="00065E1A"/>
    <w:rsid w:val="00075502"/>
    <w:rsid w:val="00077E5F"/>
    <w:rsid w:val="0008036A"/>
    <w:rsid w:val="00081AE6"/>
    <w:rsid w:val="000855EB"/>
    <w:rsid w:val="00085B52"/>
    <w:rsid w:val="000866F2"/>
    <w:rsid w:val="0009009F"/>
    <w:rsid w:val="00091557"/>
    <w:rsid w:val="000924C1"/>
    <w:rsid w:val="000924F0"/>
    <w:rsid w:val="0009253E"/>
    <w:rsid w:val="00093474"/>
    <w:rsid w:val="0009510F"/>
    <w:rsid w:val="000A1B7B"/>
    <w:rsid w:val="000A22EF"/>
    <w:rsid w:val="000A3DC1"/>
    <w:rsid w:val="000A44C0"/>
    <w:rsid w:val="000A56F2"/>
    <w:rsid w:val="000B2719"/>
    <w:rsid w:val="000B3A8F"/>
    <w:rsid w:val="000B4AB9"/>
    <w:rsid w:val="000B58C3"/>
    <w:rsid w:val="000B61E9"/>
    <w:rsid w:val="000C165A"/>
    <w:rsid w:val="000C2E19"/>
    <w:rsid w:val="000D0D07"/>
    <w:rsid w:val="000D2E6A"/>
    <w:rsid w:val="000D4797"/>
    <w:rsid w:val="000E0527"/>
    <w:rsid w:val="000E0EC6"/>
    <w:rsid w:val="000E1E92"/>
    <w:rsid w:val="000E236C"/>
    <w:rsid w:val="000F06D6"/>
    <w:rsid w:val="000F0EB1"/>
    <w:rsid w:val="000F1106"/>
    <w:rsid w:val="000F3BE9"/>
    <w:rsid w:val="000F3F6C"/>
    <w:rsid w:val="000F6DF3"/>
    <w:rsid w:val="001005FF"/>
    <w:rsid w:val="001062FB"/>
    <w:rsid w:val="001063E6"/>
    <w:rsid w:val="0011074F"/>
    <w:rsid w:val="00113CF4"/>
    <w:rsid w:val="001153EA"/>
    <w:rsid w:val="001154CD"/>
    <w:rsid w:val="00115643"/>
    <w:rsid w:val="001160D9"/>
    <w:rsid w:val="00116765"/>
    <w:rsid w:val="0012076F"/>
    <w:rsid w:val="001219F5"/>
    <w:rsid w:val="00121A20"/>
    <w:rsid w:val="0012377F"/>
    <w:rsid w:val="00124314"/>
    <w:rsid w:val="00126B4A"/>
    <w:rsid w:val="00132FD0"/>
    <w:rsid w:val="001344C0"/>
    <w:rsid w:val="001346FA"/>
    <w:rsid w:val="00135252"/>
    <w:rsid w:val="00137AB5"/>
    <w:rsid w:val="00137F0B"/>
    <w:rsid w:val="00145668"/>
    <w:rsid w:val="00151E23"/>
    <w:rsid w:val="001526E0"/>
    <w:rsid w:val="00153590"/>
    <w:rsid w:val="00155177"/>
    <w:rsid w:val="001551B5"/>
    <w:rsid w:val="001659C1"/>
    <w:rsid w:val="0017102C"/>
    <w:rsid w:val="00173A8E"/>
    <w:rsid w:val="0017502C"/>
    <w:rsid w:val="00176BE8"/>
    <w:rsid w:val="0018143F"/>
    <w:rsid w:val="00181FF8"/>
    <w:rsid w:val="001849E3"/>
    <w:rsid w:val="00190AC1"/>
    <w:rsid w:val="001920BD"/>
    <w:rsid w:val="0019341A"/>
    <w:rsid w:val="00195B60"/>
    <w:rsid w:val="00197DF9"/>
    <w:rsid w:val="001A1987"/>
    <w:rsid w:val="001A2564"/>
    <w:rsid w:val="001A5DD2"/>
    <w:rsid w:val="001A6173"/>
    <w:rsid w:val="001A621C"/>
    <w:rsid w:val="001A6CBA"/>
    <w:rsid w:val="001B0D97"/>
    <w:rsid w:val="001B374F"/>
    <w:rsid w:val="001B5A5D"/>
    <w:rsid w:val="001C1BAB"/>
    <w:rsid w:val="001C1CE5"/>
    <w:rsid w:val="001C3D2A"/>
    <w:rsid w:val="001C66D5"/>
    <w:rsid w:val="001D0E3C"/>
    <w:rsid w:val="001D316D"/>
    <w:rsid w:val="001D3937"/>
    <w:rsid w:val="001D51BA"/>
    <w:rsid w:val="001D53E7"/>
    <w:rsid w:val="001D6342"/>
    <w:rsid w:val="001D6D53"/>
    <w:rsid w:val="001E58E2"/>
    <w:rsid w:val="001E7AED"/>
    <w:rsid w:val="001F3916"/>
    <w:rsid w:val="001F54C5"/>
    <w:rsid w:val="001F5BEA"/>
    <w:rsid w:val="001F662C"/>
    <w:rsid w:val="001F7074"/>
    <w:rsid w:val="00200490"/>
    <w:rsid w:val="00201F3A"/>
    <w:rsid w:val="002034B2"/>
    <w:rsid w:val="00203680"/>
    <w:rsid w:val="00203F96"/>
    <w:rsid w:val="002041E9"/>
    <w:rsid w:val="002069B2"/>
    <w:rsid w:val="00207FA3"/>
    <w:rsid w:val="00213DCC"/>
    <w:rsid w:val="00214DA8"/>
    <w:rsid w:val="00215423"/>
    <w:rsid w:val="002158FA"/>
    <w:rsid w:val="00220600"/>
    <w:rsid w:val="002224DB"/>
    <w:rsid w:val="002226E6"/>
    <w:rsid w:val="00223E74"/>
    <w:rsid w:val="00223FCB"/>
    <w:rsid w:val="002252C3"/>
    <w:rsid w:val="00225C54"/>
    <w:rsid w:val="00230765"/>
    <w:rsid w:val="00230D18"/>
    <w:rsid w:val="002319E4"/>
    <w:rsid w:val="0023256A"/>
    <w:rsid w:val="00235632"/>
    <w:rsid w:val="00235872"/>
    <w:rsid w:val="0023604A"/>
    <w:rsid w:val="00241559"/>
    <w:rsid w:val="002435B3"/>
    <w:rsid w:val="002458EB"/>
    <w:rsid w:val="00247466"/>
    <w:rsid w:val="002500C8"/>
    <w:rsid w:val="00257543"/>
    <w:rsid w:val="00260112"/>
    <w:rsid w:val="002617E7"/>
    <w:rsid w:val="00264228"/>
    <w:rsid w:val="00264334"/>
    <w:rsid w:val="0026473E"/>
    <w:rsid w:val="00266214"/>
    <w:rsid w:val="00267C83"/>
    <w:rsid w:val="0027144F"/>
    <w:rsid w:val="00271813"/>
    <w:rsid w:val="00271F3A"/>
    <w:rsid w:val="00273278"/>
    <w:rsid w:val="002737F4"/>
    <w:rsid w:val="00274A39"/>
    <w:rsid w:val="002805F5"/>
    <w:rsid w:val="00280751"/>
    <w:rsid w:val="0028280A"/>
    <w:rsid w:val="00282F55"/>
    <w:rsid w:val="00286ACD"/>
    <w:rsid w:val="00287838"/>
    <w:rsid w:val="002907B5"/>
    <w:rsid w:val="00292EB7"/>
    <w:rsid w:val="002935CC"/>
    <w:rsid w:val="002939FD"/>
    <w:rsid w:val="00296227"/>
    <w:rsid w:val="00296F44"/>
    <w:rsid w:val="0029777D"/>
    <w:rsid w:val="002A055E"/>
    <w:rsid w:val="002A1D4E"/>
    <w:rsid w:val="002A2869"/>
    <w:rsid w:val="002B24D6"/>
    <w:rsid w:val="002C41E6"/>
    <w:rsid w:val="002D071A"/>
    <w:rsid w:val="002D34B2"/>
    <w:rsid w:val="002D35D1"/>
    <w:rsid w:val="002D36D8"/>
    <w:rsid w:val="002D48B0"/>
    <w:rsid w:val="002D5B37"/>
    <w:rsid w:val="002D6539"/>
    <w:rsid w:val="002D7637"/>
    <w:rsid w:val="002D79E8"/>
    <w:rsid w:val="002E17F2"/>
    <w:rsid w:val="002E3427"/>
    <w:rsid w:val="002E4AAE"/>
    <w:rsid w:val="002E7CAE"/>
    <w:rsid w:val="002F2771"/>
    <w:rsid w:val="002F37A9"/>
    <w:rsid w:val="002F5B0D"/>
    <w:rsid w:val="00301CE6"/>
    <w:rsid w:val="0030256B"/>
    <w:rsid w:val="0030501F"/>
    <w:rsid w:val="00307BA1"/>
    <w:rsid w:val="00311702"/>
    <w:rsid w:val="00311E82"/>
    <w:rsid w:val="00313FD6"/>
    <w:rsid w:val="003143BD"/>
    <w:rsid w:val="00315363"/>
    <w:rsid w:val="00315654"/>
    <w:rsid w:val="003203ED"/>
    <w:rsid w:val="003209C3"/>
    <w:rsid w:val="00322C9F"/>
    <w:rsid w:val="00324A56"/>
    <w:rsid w:val="00324D23"/>
    <w:rsid w:val="00331751"/>
    <w:rsid w:val="00334579"/>
    <w:rsid w:val="00335858"/>
    <w:rsid w:val="00336BDA"/>
    <w:rsid w:val="00337F4E"/>
    <w:rsid w:val="0034185C"/>
    <w:rsid w:val="00342BD7"/>
    <w:rsid w:val="00346DB5"/>
    <w:rsid w:val="00346DED"/>
    <w:rsid w:val="003477B1"/>
    <w:rsid w:val="00351360"/>
    <w:rsid w:val="00351374"/>
    <w:rsid w:val="003569C3"/>
    <w:rsid w:val="00357380"/>
    <w:rsid w:val="003602D9"/>
    <w:rsid w:val="003604CE"/>
    <w:rsid w:val="00361FC4"/>
    <w:rsid w:val="00362622"/>
    <w:rsid w:val="00365180"/>
    <w:rsid w:val="00365C67"/>
    <w:rsid w:val="003660D1"/>
    <w:rsid w:val="00370E47"/>
    <w:rsid w:val="003742AC"/>
    <w:rsid w:val="00377CE1"/>
    <w:rsid w:val="00381355"/>
    <w:rsid w:val="00385BF0"/>
    <w:rsid w:val="003939FF"/>
    <w:rsid w:val="00397CB9"/>
    <w:rsid w:val="003A2223"/>
    <w:rsid w:val="003A2A0F"/>
    <w:rsid w:val="003A45A1"/>
    <w:rsid w:val="003A5B0A"/>
    <w:rsid w:val="003A6BAC"/>
    <w:rsid w:val="003A70A4"/>
    <w:rsid w:val="003A7EF3"/>
    <w:rsid w:val="003B159C"/>
    <w:rsid w:val="003B369F"/>
    <w:rsid w:val="003B36A3"/>
    <w:rsid w:val="003B4B16"/>
    <w:rsid w:val="003B64BB"/>
    <w:rsid w:val="003B7FE5"/>
    <w:rsid w:val="003C11C8"/>
    <w:rsid w:val="003C2702"/>
    <w:rsid w:val="003C55F5"/>
    <w:rsid w:val="003C7806"/>
    <w:rsid w:val="003D109F"/>
    <w:rsid w:val="003D2478"/>
    <w:rsid w:val="003D3C45"/>
    <w:rsid w:val="003D5B1F"/>
    <w:rsid w:val="003D5F40"/>
    <w:rsid w:val="003E15FA"/>
    <w:rsid w:val="003E22C9"/>
    <w:rsid w:val="003E3EBC"/>
    <w:rsid w:val="003E55E4"/>
    <w:rsid w:val="003E74E3"/>
    <w:rsid w:val="003F059F"/>
    <w:rsid w:val="003F05C7"/>
    <w:rsid w:val="003F2CD4"/>
    <w:rsid w:val="003F6BBE"/>
    <w:rsid w:val="003F6E4E"/>
    <w:rsid w:val="004000E8"/>
    <w:rsid w:val="0040014D"/>
    <w:rsid w:val="00402E2B"/>
    <w:rsid w:val="0040512B"/>
    <w:rsid w:val="00405CA5"/>
    <w:rsid w:val="00407CD3"/>
    <w:rsid w:val="00410134"/>
    <w:rsid w:val="00410B72"/>
    <w:rsid w:val="00410F18"/>
    <w:rsid w:val="0041263E"/>
    <w:rsid w:val="00413AAC"/>
    <w:rsid w:val="00413E92"/>
    <w:rsid w:val="00415A59"/>
    <w:rsid w:val="00421105"/>
    <w:rsid w:val="004223C4"/>
    <w:rsid w:val="00422AA4"/>
    <w:rsid w:val="00422CFA"/>
    <w:rsid w:val="004242F4"/>
    <w:rsid w:val="004260BE"/>
    <w:rsid w:val="00427248"/>
    <w:rsid w:val="0043039F"/>
    <w:rsid w:val="00435A90"/>
    <w:rsid w:val="00437447"/>
    <w:rsid w:val="00441A92"/>
    <w:rsid w:val="004431DC"/>
    <w:rsid w:val="00444F56"/>
    <w:rsid w:val="00446488"/>
    <w:rsid w:val="004473B9"/>
    <w:rsid w:val="004517AA"/>
    <w:rsid w:val="00452CAC"/>
    <w:rsid w:val="00454BBD"/>
    <w:rsid w:val="00457565"/>
    <w:rsid w:val="00457B71"/>
    <w:rsid w:val="00463D05"/>
    <w:rsid w:val="004669E2"/>
    <w:rsid w:val="00470C31"/>
    <w:rsid w:val="00471DE0"/>
    <w:rsid w:val="00471ECA"/>
    <w:rsid w:val="004734D0"/>
    <w:rsid w:val="0047556B"/>
    <w:rsid w:val="00477768"/>
    <w:rsid w:val="004913F7"/>
    <w:rsid w:val="00492BC5"/>
    <w:rsid w:val="004964F1"/>
    <w:rsid w:val="004A16BC"/>
    <w:rsid w:val="004A2696"/>
    <w:rsid w:val="004A2B94"/>
    <w:rsid w:val="004A3BC9"/>
    <w:rsid w:val="004B0D7C"/>
    <w:rsid w:val="004B6F6A"/>
    <w:rsid w:val="004B7C0C"/>
    <w:rsid w:val="004C3898"/>
    <w:rsid w:val="004C7414"/>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5A4D"/>
    <w:rsid w:val="00536759"/>
    <w:rsid w:val="00537C62"/>
    <w:rsid w:val="00546970"/>
    <w:rsid w:val="005532E2"/>
    <w:rsid w:val="00554E19"/>
    <w:rsid w:val="0056121F"/>
    <w:rsid w:val="00564FFF"/>
    <w:rsid w:val="00570C92"/>
    <w:rsid w:val="00572505"/>
    <w:rsid w:val="00582809"/>
    <w:rsid w:val="00587226"/>
    <w:rsid w:val="0058798C"/>
    <w:rsid w:val="005900FA"/>
    <w:rsid w:val="00591369"/>
    <w:rsid w:val="005914E8"/>
    <w:rsid w:val="005935A4"/>
    <w:rsid w:val="005939B9"/>
    <w:rsid w:val="00594168"/>
    <w:rsid w:val="005948C2"/>
    <w:rsid w:val="00595268"/>
    <w:rsid w:val="00595DCA"/>
    <w:rsid w:val="0059779B"/>
    <w:rsid w:val="005A209A"/>
    <w:rsid w:val="005A2EEC"/>
    <w:rsid w:val="005A3507"/>
    <w:rsid w:val="005A4FDD"/>
    <w:rsid w:val="005A662D"/>
    <w:rsid w:val="005A7FCA"/>
    <w:rsid w:val="005B1409"/>
    <w:rsid w:val="005B35D7"/>
    <w:rsid w:val="005B392A"/>
    <w:rsid w:val="005B3AA3"/>
    <w:rsid w:val="005B4E2C"/>
    <w:rsid w:val="005B6F83"/>
    <w:rsid w:val="005B7B4F"/>
    <w:rsid w:val="005C3428"/>
    <w:rsid w:val="005C6706"/>
    <w:rsid w:val="005C74FB"/>
    <w:rsid w:val="005D1602"/>
    <w:rsid w:val="005D272C"/>
    <w:rsid w:val="005D63E1"/>
    <w:rsid w:val="005E385F"/>
    <w:rsid w:val="005E5B81"/>
    <w:rsid w:val="005F2CB1"/>
    <w:rsid w:val="005F3025"/>
    <w:rsid w:val="005F43B0"/>
    <w:rsid w:val="005F618C"/>
    <w:rsid w:val="005F70BD"/>
    <w:rsid w:val="0060283C"/>
    <w:rsid w:val="00604F14"/>
    <w:rsid w:val="00611B83"/>
    <w:rsid w:val="00613257"/>
    <w:rsid w:val="00614A96"/>
    <w:rsid w:val="00620A71"/>
    <w:rsid w:val="00620D80"/>
    <w:rsid w:val="006234A6"/>
    <w:rsid w:val="00630001"/>
    <w:rsid w:val="006311B3"/>
    <w:rsid w:val="0063284C"/>
    <w:rsid w:val="00634640"/>
    <w:rsid w:val="00636398"/>
    <w:rsid w:val="006368D3"/>
    <w:rsid w:val="00636C60"/>
    <w:rsid w:val="006377EC"/>
    <w:rsid w:val="0064151F"/>
    <w:rsid w:val="00641533"/>
    <w:rsid w:val="0064180B"/>
    <w:rsid w:val="0064208D"/>
    <w:rsid w:val="00643475"/>
    <w:rsid w:val="0064396A"/>
    <w:rsid w:val="0064624E"/>
    <w:rsid w:val="00650AB9"/>
    <w:rsid w:val="00652FD9"/>
    <w:rsid w:val="00655733"/>
    <w:rsid w:val="00655ACD"/>
    <w:rsid w:val="00656002"/>
    <w:rsid w:val="00656A92"/>
    <w:rsid w:val="00656DDE"/>
    <w:rsid w:val="0066011D"/>
    <w:rsid w:val="006607C0"/>
    <w:rsid w:val="006613A6"/>
    <w:rsid w:val="006627A2"/>
    <w:rsid w:val="006634E6"/>
    <w:rsid w:val="006655EE"/>
    <w:rsid w:val="00667EE7"/>
    <w:rsid w:val="00670922"/>
    <w:rsid w:val="00670BE1"/>
    <w:rsid w:val="0067172E"/>
    <w:rsid w:val="0067218F"/>
    <w:rsid w:val="006741F2"/>
    <w:rsid w:val="00674CC3"/>
    <w:rsid w:val="00675C72"/>
    <w:rsid w:val="006771F9"/>
    <w:rsid w:val="006776D7"/>
    <w:rsid w:val="00681003"/>
    <w:rsid w:val="006817C9"/>
    <w:rsid w:val="00683ECE"/>
    <w:rsid w:val="00693731"/>
    <w:rsid w:val="00695FC2"/>
    <w:rsid w:val="00696949"/>
    <w:rsid w:val="00697052"/>
    <w:rsid w:val="006A46FB"/>
    <w:rsid w:val="006A5E28"/>
    <w:rsid w:val="006A697B"/>
    <w:rsid w:val="006A7AFF"/>
    <w:rsid w:val="006B1816"/>
    <w:rsid w:val="006B2099"/>
    <w:rsid w:val="006B50CF"/>
    <w:rsid w:val="006B799E"/>
    <w:rsid w:val="006C03B8"/>
    <w:rsid w:val="006C5EC9"/>
    <w:rsid w:val="006C6059"/>
    <w:rsid w:val="006C7522"/>
    <w:rsid w:val="006C7CD0"/>
    <w:rsid w:val="006D402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86A"/>
    <w:rsid w:val="00704EDB"/>
    <w:rsid w:val="00706101"/>
    <w:rsid w:val="00707072"/>
    <w:rsid w:val="00707D61"/>
    <w:rsid w:val="00712287"/>
    <w:rsid w:val="00712772"/>
    <w:rsid w:val="007128E9"/>
    <w:rsid w:val="007148D3"/>
    <w:rsid w:val="00715B9A"/>
    <w:rsid w:val="00721A71"/>
    <w:rsid w:val="007257D0"/>
    <w:rsid w:val="00726EA6"/>
    <w:rsid w:val="00727208"/>
    <w:rsid w:val="00727680"/>
    <w:rsid w:val="007326B5"/>
    <w:rsid w:val="0073337F"/>
    <w:rsid w:val="007348B1"/>
    <w:rsid w:val="007362A6"/>
    <w:rsid w:val="00736D7D"/>
    <w:rsid w:val="00740466"/>
    <w:rsid w:val="00740E58"/>
    <w:rsid w:val="007445A0"/>
    <w:rsid w:val="0074524B"/>
    <w:rsid w:val="00747D8B"/>
    <w:rsid w:val="00751228"/>
    <w:rsid w:val="007571E1"/>
    <w:rsid w:val="00757A16"/>
    <w:rsid w:val="007604B2"/>
    <w:rsid w:val="00762329"/>
    <w:rsid w:val="00763DA3"/>
    <w:rsid w:val="00765281"/>
    <w:rsid w:val="00765A05"/>
    <w:rsid w:val="00766BAD"/>
    <w:rsid w:val="00770C48"/>
    <w:rsid w:val="007729A2"/>
    <w:rsid w:val="007755F2"/>
    <w:rsid w:val="00776971"/>
    <w:rsid w:val="00780A80"/>
    <w:rsid w:val="0078177E"/>
    <w:rsid w:val="0078304C"/>
    <w:rsid w:val="0078346E"/>
    <w:rsid w:val="00783673"/>
    <w:rsid w:val="00785490"/>
    <w:rsid w:val="007925EA"/>
    <w:rsid w:val="00793444"/>
    <w:rsid w:val="00793CD8"/>
    <w:rsid w:val="007944FD"/>
    <w:rsid w:val="00795058"/>
    <w:rsid w:val="00795C92"/>
    <w:rsid w:val="00796231"/>
    <w:rsid w:val="007A1255"/>
    <w:rsid w:val="007A1CB3"/>
    <w:rsid w:val="007A306F"/>
    <w:rsid w:val="007A43A6"/>
    <w:rsid w:val="007A44D8"/>
    <w:rsid w:val="007A58A6"/>
    <w:rsid w:val="007B3D2D"/>
    <w:rsid w:val="007B50AE"/>
    <w:rsid w:val="007B51DF"/>
    <w:rsid w:val="007C05DD"/>
    <w:rsid w:val="007C0A8E"/>
    <w:rsid w:val="007C3D18"/>
    <w:rsid w:val="007C60BF"/>
    <w:rsid w:val="007C6A07"/>
    <w:rsid w:val="007C75A1"/>
    <w:rsid w:val="007C77A5"/>
    <w:rsid w:val="007D04E5"/>
    <w:rsid w:val="007D5901"/>
    <w:rsid w:val="007D7526"/>
    <w:rsid w:val="007E4610"/>
    <w:rsid w:val="007E4715"/>
    <w:rsid w:val="007E505B"/>
    <w:rsid w:val="007E7091"/>
    <w:rsid w:val="007F14D3"/>
    <w:rsid w:val="007F4E4C"/>
    <w:rsid w:val="00803FAE"/>
    <w:rsid w:val="0080605F"/>
    <w:rsid w:val="00806C85"/>
    <w:rsid w:val="00807786"/>
    <w:rsid w:val="00811C66"/>
    <w:rsid w:val="00811FCB"/>
    <w:rsid w:val="00813127"/>
    <w:rsid w:val="008158D6"/>
    <w:rsid w:val="00817196"/>
    <w:rsid w:val="008201DE"/>
    <w:rsid w:val="00821D94"/>
    <w:rsid w:val="008235DB"/>
    <w:rsid w:val="00824AB4"/>
    <w:rsid w:val="00825C42"/>
    <w:rsid w:val="00825D25"/>
    <w:rsid w:val="00827D6F"/>
    <w:rsid w:val="00830BF3"/>
    <w:rsid w:val="008376AC"/>
    <w:rsid w:val="00841A04"/>
    <w:rsid w:val="008444E8"/>
    <w:rsid w:val="00844E80"/>
    <w:rsid w:val="00846FE7"/>
    <w:rsid w:val="00847C07"/>
    <w:rsid w:val="00856911"/>
    <w:rsid w:val="00863A30"/>
    <w:rsid w:val="008677FD"/>
    <w:rsid w:val="008706D4"/>
    <w:rsid w:val="00870F8A"/>
    <w:rsid w:val="008719A4"/>
    <w:rsid w:val="00871D23"/>
    <w:rsid w:val="00874312"/>
    <w:rsid w:val="0087437C"/>
    <w:rsid w:val="00875CD7"/>
    <w:rsid w:val="008765B1"/>
    <w:rsid w:val="00876B4D"/>
    <w:rsid w:val="00877E73"/>
    <w:rsid w:val="00877F18"/>
    <w:rsid w:val="00880683"/>
    <w:rsid w:val="008854D8"/>
    <w:rsid w:val="008941E3"/>
    <w:rsid w:val="00894A88"/>
    <w:rsid w:val="00895386"/>
    <w:rsid w:val="008A21FF"/>
    <w:rsid w:val="008A2CE2"/>
    <w:rsid w:val="008A30AC"/>
    <w:rsid w:val="008A44B8"/>
    <w:rsid w:val="008A4F3E"/>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199"/>
    <w:rsid w:val="008F1EAB"/>
    <w:rsid w:val="008F2EC6"/>
    <w:rsid w:val="008F33DC"/>
    <w:rsid w:val="008F477F"/>
    <w:rsid w:val="00900B76"/>
    <w:rsid w:val="00902350"/>
    <w:rsid w:val="0090336B"/>
    <w:rsid w:val="009053AA"/>
    <w:rsid w:val="00906939"/>
    <w:rsid w:val="00910B7D"/>
    <w:rsid w:val="00911DFB"/>
    <w:rsid w:val="009139D9"/>
    <w:rsid w:val="00914AD8"/>
    <w:rsid w:val="00916079"/>
    <w:rsid w:val="00917CE9"/>
    <w:rsid w:val="00920BF2"/>
    <w:rsid w:val="00922010"/>
    <w:rsid w:val="009243FA"/>
    <w:rsid w:val="009263A6"/>
    <w:rsid w:val="00931BD9"/>
    <w:rsid w:val="00933403"/>
    <w:rsid w:val="00933532"/>
    <w:rsid w:val="00933F1A"/>
    <w:rsid w:val="009368F3"/>
    <w:rsid w:val="00937B32"/>
    <w:rsid w:val="00940EF5"/>
    <w:rsid w:val="00941636"/>
    <w:rsid w:val="00943742"/>
    <w:rsid w:val="00945C05"/>
    <w:rsid w:val="00946945"/>
    <w:rsid w:val="0094706A"/>
    <w:rsid w:val="00947713"/>
    <w:rsid w:val="00950DE7"/>
    <w:rsid w:val="00953920"/>
    <w:rsid w:val="00953D47"/>
    <w:rsid w:val="0095681E"/>
    <w:rsid w:val="009572D4"/>
    <w:rsid w:val="009615CA"/>
    <w:rsid w:val="00961921"/>
    <w:rsid w:val="0096430A"/>
    <w:rsid w:val="0096554B"/>
    <w:rsid w:val="0096584A"/>
    <w:rsid w:val="0097014A"/>
    <w:rsid w:val="0097177F"/>
    <w:rsid w:val="00971F08"/>
    <w:rsid w:val="0097603D"/>
    <w:rsid w:val="00976949"/>
    <w:rsid w:val="00980477"/>
    <w:rsid w:val="00983C0A"/>
    <w:rsid w:val="00985253"/>
    <w:rsid w:val="009853B3"/>
    <w:rsid w:val="009872F4"/>
    <w:rsid w:val="00990630"/>
    <w:rsid w:val="00991761"/>
    <w:rsid w:val="00992AD4"/>
    <w:rsid w:val="00994DCA"/>
    <w:rsid w:val="009960EC"/>
    <w:rsid w:val="009970DD"/>
    <w:rsid w:val="009A0822"/>
    <w:rsid w:val="009A0FBA"/>
    <w:rsid w:val="009A1601"/>
    <w:rsid w:val="009A3BB6"/>
    <w:rsid w:val="009A462D"/>
    <w:rsid w:val="009A5CBA"/>
    <w:rsid w:val="009B1F30"/>
    <w:rsid w:val="009B2719"/>
    <w:rsid w:val="009B3AC2"/>
    <w:rsid w:val="009B4DF4"/>
    <w:rsid w:val="009B564E"/>
    <w:rsid w:val="009B7E87"/>
    <w:rsid w:val="009C0169"/>
    <w:rsid w:val="009C3680"/>
    <w:rsid w:val="009C403E"/>
    <w:rsid w:val="009D0160"/>
    <w:rsid w:val="009D1E23"/>
    <w:rsid w:val="009D4FF0"/>
    <w:rsid w:val="009D703C"/>
    <w:rsid w:val="009D718F"/>
    <w:rsid w:val="009D7A87"/>
    <w:rsid w:val="009D7D68"/>
    <w:rsid w:val="009E068F"/>
    <w:rsid w:val="009E14E0"/>
    <w:rsid w:val="009E35DB"/>
    <w:rsid w:val="009E47A3"/>
    <w:rsid w:val="009F08F3"/>
    <w:rsid w:val="009F344F"/>
    <w:rsid w:val="00A02BE8"/>
    <w:rsid w:val="00A031D8"/>
    <w:rsid w:val="00A048A8"/>
    <w:rsid w:val="00A04F49"/>
    <w:rsid w:val="00A07E44"/>
    <w:rsid w:val="00A13E54"/>
    <w:rsid w:val="00A16816"/>
    <w:rsid w:val="00A17F63"/>
    <w:rsid w:val="00A2193B"/>
    <w:rsid w:val="00A224D3"/>
    <w:rsid w:val="00A2351A"/>
    <w:rsid w:val="00A25E49"/>
    <w:rsid w:val="00A264A9"/>
    <w:rsid w:val="00A26DCF"/>
    <w:rsid w:val="00A27785"/>
    <w:rsid w:val="00A30187"/>
    <w:rsid w:val="00A3448A"/>
    <w:rsid w:val="00A36297"/>
    <w:rsid w:val="00A41E2B"/>
    <w:rsid w:val="00A45B74"/>
    <w:rsid w:val="00A47E90"/>
    <w:rsid w:val="00A52E1D"/>
    <w:rsid w:val="00A5768B"/>
    <w:rsid w:val="00A61499"/>
    <w:rsid w:val="00A62A77"/>
    <w:rsid w:val="00A63483"/>
    <w:rsid w:val="00A657D7"/>
    <w:rsid w:val="00A6583A"/>
    <w:rsid w:val="00A660AC"/>
    <w:rsid w:val="00A66557"/>
    <w:rsid w:val="00A67E53"/>
    <w:rsid w:val="00A67E6C"/>
    <w:rsid w:val="00A67E77"/>
    <w:rsid w:val="00A717E3"/>
    <w:rsid w:val="00A71B99"/>
    <w:rsid w:val="00A739D0"/>
    <w:rsid w:val="00A761D4"/>
    <w:rsid w:val="00A77EC4"/>
    <w:rsid w:val="00A801B6"/>
    <w:rsid w:val="00A861DD"/>
    <w:rsid w:val="00A92879"/>
    <w:rsid w:val="00A9442A"/>
    <w:rsid w:val="00AA016F"/>
    <w:rsid w:val="00AA1ED6"/>
    <w:rsid w:val="00AA51D6"/>
    <w:rsid w:val="00AB07A7"/>
    <w:rsid w:val="00AB0BC8"/>
    <w:rsid w:val="00AB11CA"/>
    <w:rsid w:val="00AB14D9"/>
    <w:rsid w:val="00AB4AB8"/>
    <w:rsid w:val="00AB655E"/>
    <w:rsid w:val="00AB7938"/>
    <w:rsid w:val="00AC007F"/>
    <w:rsid w:val="00AC2ECD"/>
    <w:rsid w:val="00AC2FEE"/>
    <w:rsid w:val="00AC3119"/>
    <w:rsid w:val="00AC49FB"/>
    <w:rsid w:val="00AC5A10"/>
    <w:rsid w:val="00AC5C95"/>
    <w:rsid w:val="00AD02A0"/>
    <w:rsid w:val="00AD0AA3"/>
    <w:rsid w:val="00AD3F94"/>
    <w:rsid w:val="00AD4A5A"/>
    <w:rsid w:val="00AE27AC"/>
    <w:rsid w:val="00AE40E0"/>
    <w:rsid w:val="00AE4DBA"/>
    <w:rsid w:val="00AE4F07"/>
    <w:rsid w:val="00AF1C5D"/>
    <w:rsid w:val="00AF42D7"/>
    <w:rsid w:val="00AF5CEE"/>
    <w:rsid w:val="00B006FE"/>
    <w:rsid w:val="00B007CB"/>
    <w:rsid w:val="00B02AA9"/>
    <w:rsid w:val="00B02FA3"/>
    <w:rsid w:val="00B05084"/>
    <w:rsid w:val="00B06A07"/>
    <w:rsid w:val="00B157F9"/>
    <w:rsid w:val="00B20256"/>
    <w:rsid w:val="00B202FF"/>
    <w:rsid w:val="00B20D09"/>
    <w:rsid w:val="00B22370"/>
    <w:rsid w:val="00B22B60"/>
    <w:rsid w:val="00B2763F"/>
    <w:rsid w:val="00B27AAC"/>
    <w:rsid w:val="00B30929"/>
    <w:rsid w:val="00B31CC9"/>
    <w:rsid w:val="00B34148"/>
    <w:rsid w:val="00B372AA"/>
    <w:rsid w:val="00B40445"/>
    <w:rsid w:val="00B409E0"/>
    <w:rsid w:val="00B41888"/>
    <w:rsid w:val="00B45A52"/>
    <w:rsid w:val="00B46175"/>
    <w:rsid w:val="00B53215"/>
    <w:rsid w:val="00B53E16"/>
    <w:rsid w:val="00B548B7"/>
    <w:rsid w:val="00B55538"/>
    <w:rsid w:val="00B664C7"/>
    <w:rsid w:val="00B66B82"/>
    <w:rsid w:val="00B739F6"/>
    <w:rsid w:val="00B81A6C"/>
    <w:rsid w:val="00B85DE5"/>
    <w:rsid w:val="00B90F73"/>
    <w:rsid w:val="00B93B59"/>
    <w:rsid w:val="00B94008"/>
    <w:rsid w:val="00B9406A"/>
    <w:rsid w:val="00B96A6F"/>
    <w:rsid w:val="00BA2280"/>
    <w:rsid w:val="00BA2A08"/>
    <w:rsid w:val="00BA2D2E"/>
    <w:rsid w:val="00BA426C"/>
    <w:rsid w:val="00BA56D2"/>
    <w:rsid w:val="00BA76E0"/>
    <w:rsid w:val="00BB2A25"/>
    <w:rsid w:val="00BB51E9"/>
    <w:rsid w:val="00BC0FDC"/>
    <w:rsid w:val="00BC3053"/>
    <w:rsid w:val="00BC4D2E"/>
    <w:rsid w:val="00BD48AC"/>
    <w:rsid w:val="00BD5F1A"/>
    <w:rsid w:val="00BE1234"/>
    <w:rsid w:val="00BE173D"/>
    <w:rsid w:val="00BE2FA6"/>
    <w:rsid w:val="00BE333F"/>
    <w:rsid w:val="00BE5546"/>
    <w:rsid w:val="00BE7406"/>
    <w:rsid w:val="00BE7603"/>
    <w:rsid w:val="00BE7E38"/>
    <w:rsid w:val="00BF3279"/>
    <w:rsid w:val="00BF74C7"/>
    <w:rsid w:val="00C015F1"/>
    <w:rsid w:val="00C01F33"/>
    <w:rsid w:val="00C02CC6"/>
    <w:rsid w:val="00C040F7"/>
    <w:rsid w:val="00C044AB"/>
    <w:rsid w:val="00C05706"/>
    <w:rsid w:val="00C07074"/>
    <w:rsid w:val="00C07377"/>
    <w:rsid w:val="00C10478"/>
    <w:rsid w:val="00C12107"/>
    <w:rsid w:val="00C14D4B"/>
    <w:rsid w:val="00C154BB"/>
    <w:rsid w:val="00C268E6"/>
    <w:rsid w:val="00C279B5"/>
    <w:rsid w:val="00C27C45"/>
    <w:rsid w:val="00C33707"/>
    <w:rsid w:val="00C35328"/>
    <w:rsid w:val="00C3719D"/>
    <w:rsid w:val="00C37CB2"/>
    <w:rsid w:val="00C42F0E"/>
    <w:rsid w:val="00C4693C"/>
    <w:rsid w:val="00C473A5"/>
    <w:rsid w:val="00C54365"/>
    <w:rsid w:val="00C54995"/>
    <w:rsid w:val="00C54D41"/>
    <w:rsid w:val="00C60783"/>
    <w:rsid w:val="00C64672"/>
    <w:rsid w:val="00C64B60"/>
    <w:rsid w:val="00C70697"/>
    <w:rsid w:val="00C712E3"/>
    <w:rsid w:val="00C72093"/>
    <w:rsid w:val="00C72EF4"/>
    <w:rsid w:val="00C744FE"/>
    <w:rsid w:val="00C75D2F"/>
    <w:rsid w:val="00C75FEC"/>
    <w:rsid w:val="00C76127"/>
    <w:rsid w:val="00C767BE"/>
    <w:rsid w:val="00C76E3C"/>
    <w:rsid w:val="00C7772B"/>
    <w:rsid w:val="00C77867"/>
    <w:rsid w:val="00C81568"/>
    <w:rsid w:val="00C815FC"/>
    <w:rsid w:val="00C8176F"/>
    <w:rsid w:val="00C9027A"/>
    <w:rsid w:val="00C9068E"/>
    <w:rsid w:val="00C93814"/>
    <w:rsid w:val="00C93C4B"/>
    <w:rsid w:val="00C944AB"/>
    <w:rsid w:val="00C95B40"/>
    <w:rsid w:val="00CA1ED8"/>
    <w:rsid w:val="00CB1F63"/>
    <w:rsid w:val="00CB6562"/>
    <w:rsid w:val="00CB7170"/>
    <w:rsid w:val="00CC040E"/>
    <w:rsid w:val="00CC111F"/>
    <w:rsid w:val="00CC2011"/>
    <w:rsid w:val="00CC3EA0"/>
    <w:rsid w:val="00CC7B45"/>
    <w:rsid w:val="00CD1188"/>
    <w:rsid w:val="00CD2ED1"/>
    <w:rsid w:val="00CD337B"/>
    <w:rsid w:val="00CD5F40"/>
    <w:rsid w:val="00CD6AE5"/>
    <w:rsid w:val="00CE0232"/>
    <w:rsid w:val="00CE0424"/>
    <w:rsid w:val="00CE7561"/>
    <w:rsid w:val="00CF1354"/>
    <w:rsid w:val="00CF3B1F"/>
    <w:rsid w:val="00CF3BF6"/>
    <w:rsid w:val="00CF625B"/>
    <w:rsid w:val="00CF687E"/>
    <w:rsid w:val="00D0349B"/>
    <w:rsid w:val="00D0382D"/>
    <w:rsid w:val="00D05B07"/>
    <w:rsid w:val="00D07AEF"/>
    <w:rsid w:val="00D10249"/>
    <w:rsid w:val="00D115C3"/>
    <w:rsid w:val="00D11897"/>
    <w:rsid w:val="00D13135"/>
    <w:rsid w:val="00D13E4E"/>
    <w:rsid w:val="00D14928"/>
    <w:rsid w:val="00D162B4"/>
    <w:rsid w:val="00D201C1"/>
    <w:rsid w:val="00D239A7"/>
    <w:rsid w:val="00D23F47"/>
    <w:rsid w:val="00D36E71"/>
    <w:rsid w:val="00D37D87"/>
    <w:rsid w:val="00D40B33"/>
    <w:rsid w:val="00D4318F"/>
    <w:rsid w:val="00D438BF"/>
    <w:rsid w:val="00D440F8"/>
    <w:rsid w:val="00D47116"/>
    <w:rsid w:val="00D501CC"/>
    <w:rsid w:val="00D546FF"/>
    <w:rsid w:val="00D55AD5"/>
    <w:rsid w:val="00D576CA"/>
    <w:rsid w:val="00D60E2D"/>
    <w:rsid w:val="00D61AF5"/>
    <w:rsid w:val="00D652B5"/>
    <w:rsid w:val="00D66155"/>
    <w:rsid w:val="00D708B0"/>
    <w:rsid w:val="00D77777"/>
    <w:rsid w:val="00D77B1D"/>
    <w:rsid w:val="00D8021F"/>
    <w:rsid w:val="00D80383"/>
    <w:rsid w:val="00D8101C"/>
    <w:rsid w:val="00D823C6"/>
    <w:rsid w:val="00D8327F"/>
    <w:rsid w:val="00D85F1B"/>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D12"/>
    <w:rsid w:val="00DF66E1"/>
    <w:rsid w:val="00DF690B"/>
    <w:rsid w:val="00E110E7"/>
    <w:rsid w:val="00E11B20"/>
    <w:rsid w:val="00E1420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75B"/>
    <w:rsid w:val="00E54E3B"/>
    <w:rsid w:val="00E57565"/>
    <w:rsid w:val="00E63344"/>
    <w:rsid w:val="00E63838"/>
    <w:rsid w:val="00E64434"/>
    <w:rsid w:val="00E67C36"/>
    <w:rsid w:val="00E67C51"/>
    <w:rsid w:val="00E72EFC"/>
    <w:rsid w:val="00E758EC"/>
    <w:rsid w:val="00E8234C"/>
    <w:rsid w:val="00E83AA9"/>
    <w:rsid w:val="00E85928"/>
    <w:rsid w:val="00E859C5"/>
    <w:rsid w:val="00E86EE3"/>
    <w:rsid w:val="00E87822"/>
    <w:rsid w:val="00E90395"/>
    <w:rsid w:val="00E90E49"/>
    <w:rsid w:val="00E917F9"/>
    <w:rsid w:val="00E9291C"/>
    <w:rsid w:val="00E93667"/>
    <w:rsid w:val="00E93FFE"/>
    <w:rsid w:val="00E94F8A"/>
    <w:rsid w:val="00EA0ADB"/>
    <w:rsid w:val="00EA19F4"/>
    <w:rsid w:val="00EA1C1C"/>
    <w:rsid w:val="00EA7A41"/>
    <w:rsid w:val="00EB077B"/>
    <w:rsid w:val="00EB37C6"/>
    <w:rsid w:val="00EB4EA2"/>
    <w:rsid w:val="00EC24D5"/>
    <w:rsid w:val="00EC27C6"/>
    <w:rsid w:val="00EC4207"/>
    <w:rsid w:val="00EC5653"/>
    <w:rsid w:val="00EC71CE"/>
    <w:rsid w:val="00ED1006"/>
    <w:rsid w:val="00ED4FA0"/>
    <w:rsid w:val="00EE424A"/>
    <w:rsid w:val="00EE4D69"/>
    <w:rsid w:val="00EF18FE"/>
    <w:rsid w:val="00EF5787"/>
    <w:rsid w:val="00EF59F1"/>
    <w:rsid w:val="00EF60D0"/>
    <w:rsid w:val="00F0528D"/>
    <w:rsid w:val="00F06C67"/>
    <w:rsid w:val="00F06DFD"/>
    <w:rsid w:val="00F071D1"/>
    <w:rsid w:val="00F07533"/>
    <w:rsid w:val="00F10629"/>
    <w:rsid w:val="00F1156D"/>
    <w:rsid w:val="00F130D3"/>
    <w:rsid w:val="00F15B76"/>
    <w:rsid w:val="00F15C28"/>
    <w:rsid w:val="00F15FA5"/>
    <w:rsid w:val="00F209B7"/>
    <w:rsid w:val="00F20F5C"/>
    <w:rsid w:val="00F2376F"/>
    <w:rsid w:val="00F243D8"/>
    <w:rsid w:val="00F30828"/>
    <w:rsid w:val="00F313D6"/>
    <w:rsid w:val="00F3650D"/>
    <w:rsid w:val="00F40F0C"/>
    <w:rsid w:val="00F47005"/>
    <w:rsid w:val="00F4766C"/>
    <w:rsid w:val="00F5060E"/>
    <w:rsid w:val="00F507D1"/>
    <w:rsid w:val="00F519CE"/>
    <w:rsid w:val="00F51ADA"/>
    <w:rsid w:val="00F51CA7"/>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6D2"/>
    <w:rsid w:val="00F96985"/>
    <w:rsid w:val="00F97838"/>
    <w:rsid w:val="00FA2BB3"/>
    <w:rsid w:val="00FA48CB"/>
    <w:rsid w:val="00FB3CFE"/>
    <w:rsid w:val="00FB4C80"/>
    <w:rsid w:val="00FB6A6A"/>
    <w:rsid w:val="00FC7429"/>
    <w:rsid w:val="00FD07F6"/>
    <w:rsid w:val="00FD14D6"/>
    <w:rsid w:val="00FD1EC8"/>
    <w:rsid w:val="00FD47ED"/>
    <w:rsid w:val="00FD74DB"/>
    <w:rsid w:val="00FD7660"/>
    <w:rsid w:val="00FE0655"/>
    <w:rsid w:val="00FE2365"/>
    <w:rsid w:val="00FE319F"/>
    <w:rsid w:val="00FE37D7"/>
    <w:rsid w:val="00FE4C7B"/>
    <w:rsid w:val="00FE7336"/>
    <w:rsid w:val="00FE787C"/>
    <w:rsid w:val="00FF3B47"/>
    <w:rsid w:val="00FF45A5"/>
    <w:rsid w:val="00FF5247"/>
    <w:rsid w:val="00FF5C91"/>
    <w:rsid w:val="00FF6EC3"/>
    <w:rsid w:val="07AE81B5"/>
    <w:rsid w:val="07B5404B"/>
    <w:rsid w:val="0A7C1127"/>
    <w:rsid w:val="1364EF35"/>
    <w:rsid w:val="17999891"/>
    <w:rsid w:val="1AAB3F7A"/>
    <w:rsid w:val="1DD6ED76"/>
    <w:rsid w:val="1E0B500A"/>
    <w:rsid w:val="1E78DEAA"/>
    <w:rsid w:val="2387D876"/>
    <w:rsid w:val="2954C5CC"/>
    <w:rsid w:val="31D049A0"/>
    <w:rsid w:val="3A17A216"/>
    <w:rsid w:val="3CE0155E"/>
    <w:rsid w:val="3DDFAB20"/>
    <w:rsid w:val="4380DAE0"/>
    <w:rsid w:val="44BF99BC"/>
    <w:rsid w:val="46B074D4"/>
    <w:rsid w:val="48593CFA"/>
    <w:rsid w:val="49B8749B"/>
    <w:rsid w:val="4A684DFF"/>
    <w:rsid w:val="625DD0AE"/>
    <w:rsid w:val="6285BCF2"/>
    <w:rsid w:val="667B06AF"/>
    <w:rsid w:val="6A8955F2"/>
    <w:rsid w:val="6D8D0168"/>
    <w:rsid w:val="6E9C4A00"/>
    <w:rsid w:val="70125B7D"/>
    <w:rsid w:val="719C9F81"/>
    <w:rsid w:val="74B13ACA"/>
    <w:rsid w:val="76074F47"/>
    <w:rsid w:val="7AF6A33A"/>
    <w:rsid w:val="7E46D4E1"/>
    <w:rsid w:val="7F8018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4997992"/>
  <w15:chartTrackingRefBased/>
  <w15:docId w15:val="{A72738B0-169E-4814-8BDA-A1B9292F9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F3B47"/>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styleId="Revision">
    <w:name w:val="Revision"/>
    <w:hidden/>
    <w:uiPriority w:val="99"/>
    <w:semiHidden/>
    <w:rsid w:val="000A22EF"/>
    <w:rPr>
      <w:rFonts w:ascii="Times New Roman" w:hAnsi="Times New Roman"/>
      <w:lang w:eastAsia="ja-JP"/>
    </w:rPr>
  </w:style>
  <w:style w:type="character" w:styleId="Mention">
    <w:name w:val="Mention"/>
    <w:basedOn w:val="DefaultParagraphFont"/>
    <w:uiPriority w:val="99"/>
    <w:unhideWhenUsed/>
    <w:rsid w:val="004913F7"/>
    <w:rPr>
      <w:color w:val="2B579A"/>
      <w:shd w:val="clear" w:color="auto" w:fill="E1DFDD"/>
    </w:rPr>
  </w:style>
  <w:style w:type="character" w:customStyle="1" w:styleId="maintextChar">
    <w:name w:val="main text Char"/>
    <w:link w:val="maintext"/>
    <w:qFormat/>
    <w:locked/>
    <w:rsid w:val="00E67C36"/>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E67C36"/>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Agreement">
    <w:name w:val="Agreement"/>
    <w:basedOn w:val="Normal"/>
    <w:next w:val="Doc-text2"/>
    <w:qFormat/>
    <w:rsid w:val="00F3650D"/>
    <w:pPr>
      <w:numPr>
        <w:numId w:val="37"/>
      </w:numPr>
      <w:tabs>
        <w:tab w:val="clear" w:pos="1352"/>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921717926">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 w:id="195509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48FED9F-CBD2-418F-B2AA-A527BC332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913</TotalTime>
  <Pages>6</Pages>
  <Words>2846</Words>
  <Characters>13121</Characters>
  <Application>Microsoft Office Word</Application>
  <DocSecurity>0</DocSecurity>
  <Lines>328</Lines>
  <Paragraphs>249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15718</CharactersWithSpaces>
  <SharedDoc>false</SharedDoc>
  <HLinks>
    <vt:vector size="30" baseType="variant">
      <vt:variant>
        <vt:i4>1507381</vt:i4>
      </vt:variant>
      <vt:variant>
        <vt:i4>20</vt:i4>
      </vt:variant>
      <vt:variant>
        <vt:i4>0</vt:i4>
      </vt:variant>
      <vt:variant>
        <vt:i4>5</vt:i4>
      </vt:variant>
      <vt:variant>
        <vt:lpwstr/>
      </vt:variant>
      <vt:variant>
        <vt:lpwstr>_Toc111017465</vt:lpwstr>
      </vt:variant>
      <vt:variant>
        <vt:i4>1507381</vt:i4>
      </vt:variant>
      <vt:variant>
        <vt:i4>17</vt:i4>
      </vt:variant>
      <vt:variant>
        <vt:i4>0</vt:i4>
      </vt:variant>
      <vt:variant>
        <vt:i4>5</vt:i4>
      </vt:variant>
      <vt:variant>
        <vt:lpwstr/>
      </vt:variant>
      <vt:variant>
        <vt:lpwstr>_Toc111017464</vt:lpwstr>
      </vt:variant>
      <vt:variant>
        <vt:i4>1507381</vt:i4>
      </vt:variant>
      <vt:variant>
        <vt:i4>11</vt:i4>
      </vt:variant>
      <vt:variant>
        <vt:i4>0</vt:i4>
      </vt:variant>
      <vt:variant>
        <vt:i4>5</vt:i4>
      </vt:variant>
      <vt:variant>
        <vt:lpwstr/>
      </vt:variant>
      <vt:variant>
        <vt:lpwstr>_Toc111017463</vt:lpwstr>
      </vt:variant>
      <vt:variant>
        <vt:i4>1507381</vt:i4>
      </vt:variant>
      <vt:variant>
        <vt:i4>8</vt:i4>
      </vt:variant>
      <vt:variant>
        <vt:i4>0</vt:i4>
      </vt:variant>
      <vt:variant>
        <vt:i4>5</vt:i4>
      </vt:variant>
      <vt:variant>
        <vt:lpwstr/>
      </vt:variant>
      <vt:variant>
        <vt:lpwstr>_Toc111017462</vt:lpwstr>
      </vt:variant>
      <vt:variant>
        <vt:i4>1507381</vt:i4>
      </vt:variant>
      <vt:variant>
        <vt:i4>5</vt:i4>
      </vt:variant>
      <vt:variant>
        <vt:i4>0</vt:i4>
      </vt:variant>
      <vt:variant>
        <vt:i4>5</vt:i4>
      </vt:variant>
      <vt:variant>
        <vt:lpwstr/>
      </vt:variant>
      <vt:variant>
        <vt:lpwstr>_Toc111017461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82</cp:revision>
  <cp:lastPrinted>2008-01-30T23:09:00Z</cp:lastPrinted>
  <dcterms:created xsi:type="dcterms:W3CDTF">2022-08-10T08:20:00Z</dcterms:created>
  <dcterms:modified xsi:type="dcterms:W3CDTF">2022-11-03T21:27:00Z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